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06507063">
      <w:pPr>
        <w:jc w:val="center"/>
        <w:rPr>
          <w:rFonts w:ascii="方正小标宋_GBK" w:hAnsi="黑体" w:eastAsia="方正小标宋_GBK"/>
          <w:sz w:val="32"/>
          <w:szCs w:val="32"/>
        </w:rPr>
      </w:pPr>
      <w:r>
        <w:rPr>
          <w:rFonts w:hint="eastAsia" w:ascii="方正小标宋_GBK" w:hAnsi="黑体" w:eastAsia="方正小标宋_GBK"/>
          <w:sz w:val="32"/>
          <w:szCs w:val="32"/>
        </w:rPr>
        <w:t>关于征集</w:t>
      </w:r>
      <w:r>
        <w:rPr>
          <w:rFonts w:hint="eastAsia" w:ascii="方正小标宋_GBK" w:hAnsi="黑体" w:eastAsia="方正小标宋_GBK"/>
          <w:sz w:val="32"/>
          <w:szCs w:val="32"/>
          <w:lang w:eastAsia="zh-CN"/>
        </w:rPr>
        <w:t>2025</w:t>
      </w:r>
      <w:r>
        <w:rPr>
          <w:rFonts w:hint="eastAsia" w:ascii="方正小标宋_GBK" w:hAnsi="黑体" w:eastAsia="方正小标宋_GBK"/>
          <w:sz w:val="32"/>
          <w:szCs w:val="32"/>
        </w:rPr>
        <w:t>年</w:t>
      </w:r>
      <w:r>
        <w:rPr>
          <w:rFonts w:hint="eastAsia" w:ascii="方正小标宋_GBK" w:hAnsi="黑体" w:eastAsia="方正小标宋_GBK"/>
          <w:sz w:val="32"/>
          <w:szCs w:val="32"/>
          <w:lang w:val="en-US" w:eastAsia="zh-CN"/>
        </w:rPr>
        <w:t>度</w:t>
      </w:r>
      <w:r>
        <w:rPr>
          <w:rFonts w:hint="eastAsia" w:ascii="方正小标宋_GBK" w:hAnsi="黑体" w:eastAsia="方正小标宋_GBK"/>
          <w:sz w:val="32"/>
          <w:szCs w:val="32"/>
        </w:rPr>
        <w:t>浦东新区教育评价改革</w:t>
      </w:r>
      <w:r>
        <w:rPr>
          <w:rFonts w:hint="eastAsia" w:ascii="方正小标宋_GBK" w:hAnsi="黑体" w:eastAsia="方正小标宋_GBK"/>
          <w:sz w:val="32"/>
          <w:szCs w:val="32"/>
          <w:lang w:val="en-US" w:eastAsia="zh-CN"/>
        </w:rPr>
        <w:t>优秀</w:t>
      </w:r>
      <w:r>
        <w:rPr>
          <w:rFonts w:hint="eastAsia" w:ascii="方正小标宋_GBK" w:hAnsi="黑体" w:eastAsia="方正小标宋_GBK"/>
          <w:sz w:val="32"/>
          <w:szCs w:val="32"/>
        </w:rPr>
        <w:t>案例的通知</w:t>
      </w:r>
    </w:p>
    <w:p w14:paraId="56F4279B"/>
    <w:p w14:paraId="6FA05480">
      <w:pPr>
        <w:spacing w:line="480" w:lineRule="exact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全区中小学（含职校、特校）、幼儿园：</w:t>
      </w:r>
    </w:p>
    <w:p w14:paraId="74D6A19E">
      <w:pPr>
        <w:spacing w:line="480" w:lineRule="exact"/>
        <w:ind w:firstLine="430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为深入贯彻党</w:t>
      </w: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的</w:t>
      </w:r>
      <w:r>
        <w:rPr>
          <w:rFonts w:hint="eastAsia" w:ascii="仿宋_GB2312" w:hAnsi="楷体" w:eastAsia="仿宋_GB2312"/>
          <w:sz w:val="28"/>
          <w:szCs w:val="28"/>
        </w:rPr>
        <w:t>二十届四中全会精神和《教育强国建设规划纲</w:t>
      </w: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要</w:t>
      </w:r>
      <w:r>
        <w:rPr>
          <w:rFonts w:hint="eastAsia" w:ascii="仿宋_GB2312" w:hAnsi="楷体" w:eastAsia="仿宋_GB2312"/>
          <w:sz w:val="28"/>
          <w:szCs w:val="28"/>
        </w:rPr>
        <w:t>(2024—2035年)》战略部署</w:t>
      </w:r>
      <w:r>
        <w:rPr>
          <w:rFonts w:hint="eastAsia" w:ascii="仿宋_GB2312" w:hAnsi="楷体" w:eastAsia="仿宋_GB2312"/>
          <w:sz w:val="28"/>
          <w:szCs w:val="28"/>
          <w:lang w:eastAsia="zh-CN"/>
        </w:rPr>
        <w:t>，</w:t>
      </w: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以及上海市教育大会精神，</w:t>
      </w:r>
      <w:r>
        <w:rPr>
          <w:rFonts w:hint="eastAsia" w:ascii="仿宋_GB2312" w:hAnsi="楷体" w:eastAsia="仿宋_GB2312"/>
          <w:sz w:val="28"/>
          <w:szCs w:val="28"/>
        </w:rPr>
        <w:t>立好教育评价关键“指挥棒”</w:t>
      </w:r>
      <w:r>
        <w:rPr>
          <w:rFonts w:hint="eastAsia" w:ascii="仿宋_GB2312" w:hAnsi="楷体" w:eastAsia="仿宋_GB2312"/>
          <w:sz w:val="28"/>
          <w:szCs w:val="28"/>
          <w:lang w:eastAsia="zh-CN"/>
        </w:rPr>
        <w:t>，</w:t>
      </w:r>
      <w:r>
        <w:rPr>
          <w:rFonts w:hint="eastAsia" w:ascii="仿宋_GB2312" w:hAnsi="楷体" w:eastAsia="仿宋_GB2312"/>
          <w:sz w:val="28"/>
          <w:szCs w:val="28"/>
        </w:rPr>
        <w:t>发挥典型经验的示范带动作用，特面向全区相关单位征集教育评价改革</w:t>
      </w: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优秀</w:t>
      </w:r>
      <w:r>
        <w:rPr>
          <w:rFonts w:hint="eastAsia" w:ascii="仿宋_GB2312" w:hAnsi="楷体" w:eastAsia="仿宋_GB2312"/>
          <w:sz w:val="28"/>
          <w:szCs w:val="28"/>
        </w:rPr>
        <w:t>案例。现将有关事项通知如下：</w:t>
      </w:r>
    </w:p>
    <w:p w14:paraId="6903129F">
      <w:pPr>
        <w:spacing w:line="480" w:lineRule="exact"/>
        <w:ind w:firstLine="430"/>
        <w:rPr>
          <w:rFonts w:ascii="黑体" w:hAnsi="黑体" w:eastAsia="黑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 xml:space="preserve"> </w:t>
      </w:r>
      <w:r>
        <w:rPr>
          <w:rFonts w:hint="eastAsia" w:ascii="黑体" w:hAnsi="黑体" w:eastAsia="黑体"/>
          <w:sz w:val="28"/>
          <w:szCs w:val="28"/>
        </w:rPr>
        <w:t>一、参与</w:t>
      </w:r>
      <w:r>
        <w:rPr>
          <w:rFonts w:ascii="黑体" w:hAnsi="黑体" w:eastAsia="黑体"/>
          <w:sz w:val="28"/>
          <w:szCs w:val="28"/>
        </w:rPr>
        <w:t>对象</w:t>
      </w:r>
    </w:p>
    <w:p w14:paraId="3DA9330B">
      <w:pPr>
        <w:spacing w:line="480" w:lineRule="exact"/>
        <w:ind w:firstLine="560" w:firstLineChars="200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全区</w:t>
      </w:r>
      <w:r>
        <w:rPr>
          <w:rFonts w:ascii="仿宋_GB2312" w:hAnsi="楷体" w:eastAsia="仿宋_GB2312"/>
          <w:sz w:val="28"/>
          <w:szCs w:val="28"/>
        </w:rPr>
        <w:t>中小学</w:t>
      </w:r>
      <w:r>
        <w:rPr>
          <w:rFonts w:hint="eastAsia" w:ascii="仿宋_GB2312" w:hAnsi="楷体" w:eastAsia="仿宋_GB2312"/>
          <w:sz w:val="28"/>
          <w:szCs w:val="28"/>
        </w:rPr>
        <w:t>（含职校、特校）、</w:t>
      </w:r>
      <w:r>
        <w:rPr>
          <w:rFonts w:ascii="仿宋_GB2312" w:hAnsi="楷体" w:eastAsia="仿宋_GB2312"/>
          <w:sz w:val="28"/>
          <w:szCs w:val="28"/>
        </w:rPr>
        <w:t>幼儿园</w:t>
      </w:r>
      <w:r>
        <w:rPr>
          <w:rFonts w:hint="eastAsia" w:ascii="仿宋_GB2312" w:hAnsi="楷体" w:eastAsia="仿宋_GB2312"/>
          <w:sz w:val="28"/>
          <w:szCs w:val="28"/>
        </w:rPr>
        <w:t>教师、相关研究人员</w:t>
      </w:r>
    </w:p>
    <w:p w14:paraId="12A934A6">
      <w:pPr>
        <w:spacing w:line="48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二、案例要求</w:t>
      </w:r>
    </w:p>
    <w:p w14:paraId="7EA0E0CC">
      <w:pPr>
        <w:spacing w:line="48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（一）主题</w:t>
      </w:r>
    </w:p>
    <w:p w14:paraId="75C0DA68">
      <w:pPr>
        <w:spacing w:line="480" w:lineRule="exact"/>
        <w:ind w:firstLine="560" w:firstLineChars="200"/>
        <w:rPr>
          <w:rFonts w:hint="eastAsia"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包括但不限于以下</w:t>
      </w:r>
      <w:r>
        <w:rPr>
          <w:rFonts w:hint="eastAsia" w:ascii="仿宋_GB2312" w:hAnsi="楷体" w:eastAsia="仿宋_GB2312"/>
          <w:sz w:val="28"/>
          <w:szCs w:val="28"/>
        </w:rPr>
        <w:t>主题：</w:t>
      </w:r>
    </w:p>
    <w:p w14:paraId="6FB05123">
      <w:pPr>
        <w:spacing w:line="480" w:lineRule="exact"/>
        <w:ind w:firstLine="560" w:firstLineChars="200"/>
        <w:rPr>
          <w:rFonts w:hint="default" w:ascii="仿宋_GB2312" w:hAnsi="楷体" w:eastAsia="仿宋_GB2312"/>
          <w:sz w:val="28"/>
          <w:szCs w:val="28"/>
          <w:lang w:val="en-US" w:eastAsia="zh-CN"/>
        </w:rPr>
      </w:pP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1.</w:t>
      </w:r>
      <w:r>
        <w:rPr>
          <w:rFonts w:hint="eastAsia" w:ascii="仿宋_GB2312" w:hAnsi="楷体" w:eastAsia="仿宋_GB2312"/>
          <w:sz w:val="28"/>
          <w:szCs w:val="28"/>
        </w:rPr>
        <w:t>学校评价</w:t>
      </w:r>
      <w:r>
        <w:rPr>
          <w:rFonts w:hint="eastAsia" w:ascii="仿宋_GB2312" w:hAnsi="楷体" w:eastAsia="仿宋_GB2312"/>
          <w:sz w:val="28"/>
          <w:szCs w:val="28"/>
          <w:lang w:eastAsia="zh-CN"/>
        </w:rPr>
        <w:t>。</w:t>
      </w: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聚焦学校治理体系评估与优化、</w:t>
      </w:r>
      <w:r>
        <w:rPr>
          <w:rFonts w:hint="eastAsia" w:ascii="仿宋_GB2312" w:hAnsi="楷体" w:eastAsia="仿宋_GB2312"/>
          <w:sz w:val="28"/>
          <w:szCs w:val="28"/>
        </w:rPr>
        <w:t>基于上海市义务教育阶段绿色指标评价结果的教育教学改进</w:t>
      </w:r>
      <w:r>
        <w:rPr>
          <w:rFonts w:hint="eastAsia" w:ascii="仿宋_GB2312" w:hAnsi="楷体" w:eastAsia="仿宋_GB2312"/>
          <w:sz w:val="28"/>
          <w:szCs w:val="28"/>
          <w:lang w:eastAsia="zh-CN"/>
        </w:rPr>
        <w:t>、</w:t>
      </w: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教育质量监测结果的应用与实践等。</w:t>
      </w:r>
    </w:p>
    <w:p w14:paraId="42C8CE1D">
      <w:pPr>
        <w:spacing w:line="480" w:lineRule="exact"/>
        <w:ind w:firstLine="560" w:firstLineChars="200"/>
        <w:rPr>
          <w:rFonts w:hint="eastAsia" w:ascii="仿宋_GB2312" w:hAnsi="楷体" w:eastAsia="仿宋_GB2312"/>
          <w:sz w:val="28"/>
          <w:szCs w:val="28"/>
          <w:lang w:val="en-US" w:eastAsia="zh-CN"/>
        </w:rPr>
      </w:pP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2.</w:t>
      </w:r>
      <w:r>
        <w:rPr>
          <w:rFonts w:hint="eastAsia" w:ascii="仿宋_GB2312" w:hAnsi="楷体" w:eastAsia="仿宋_GB2312"/>
          <w:sz w:val="28"/>
          <w:szCs w:val="28"/>
          <w:lang w:eastAsia="zh-CN"/>
        </w:rPr>
        <w:t>教师评价。</w:t>
      </w: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聚焦教师关键能力、专业素养的评价设计与实践等。</w:t>
      </w:r>
    </w:p>
    <w:p w14:paraId="2BBF849E">
      <w:pPr>
        <w:spacing w:line="480" w:lineRule="exact"/>
        <w:ind w:firstLine="560" w:firstLineChars="200"/>
        <w:rPr>
          <w:rFonts w:hint="default" w:ascii="仿宋_GB2312" w:hAnsi="楷体" w:eastAsia="仿宋_GB2312"/>
          <w:sz w:val="28"/>
          <w:szCs w:val="28"/>
          <w:lang w:val="en-US" w:eastAsia="zh-CN"/>
        </w:rPr>
      </w:pP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3.学生评价。聚焦德智体美劳全面育人体系建构与评价、学生综合素质与个性化发展评价、学生心理健康评估等。</w:t>
      </w:r>
    </w:p>
    <w:p w14:paraId="676A4133">
      <w:pPr>
        <w:spacing w:line="480" w:lineRule="exact"/>
        <w:ind w:firstLine="560" w:firstLineChars="200"/>
        <w:rPr>
          <w:rFonts w:hint="default" w:ascii="仿宋_GB2312" w:hAnsi="楷体" w:eastAsia="仿宋_GB2312"/>
          <w:sz w:val="28"/>
          <w:szCs w:val="28"/>
          <w:lang w:val="en-US" w:eastAsia="zh-CN"/>
        </w:rPr>
      </w:pP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4.技术赋能评价。基于大数据与人工智能的教育教学评价等。</w:t>
      </w:r>
    </w:p>
    <w:p w14:paraId="46F7DF62">
      <w:pPr>
        <w:spacing w:line="48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（二）内容</w:t>
      </w:r>
    </w:p>
    <w:p w14:paraId="2357416D">
      <w:pPr>
        <w:spacing w:line="480" w:lineRule="exact"/>
        <w:ind w:firstLine="560" w:firstLineChars="200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案例要坚持问题导向，聚焦难点问题或突出的短板弱项，立足小切口，探索破解问题的有效路径，确保重点突出、条理清晰、数据精准、内容详实。单一的教学设计、课堂实录、教学随笔、调研报告等不在征集范围内。</w:t>
      </w:r>
    </w:p>
    <w:p w14:paraId="340440B4">
      <w:pPr>
        <w:spacing w:line="48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（三）体例</w:t>
      </w:r>
    </w:p>
    <w:p w14:paraId="4794D558">
      <w:pPr>
        <w:spacing w:line="480" w:lineRule="exact"/>
        <w:ind w:firstLine="562" w:firstLineChars="200"/>
        <w:rPr>
          <w:rFonts w:ascii="仿宋_GB2312" w:hAnsi="楷体" w:eastAsia="仿宋_GB2312"/>
          <w:b/>
          <w:bCs/>
          <w:sz w:val="28"/>
          <w:szCs w:val="28"/>
        </w:rPr>
      </w:pPr>
      <w:r>
        <w:rPr>
          <w:rFonts w:hint="eastAsia" w:ascii="仿宋_GB2312" w:hAnsi="楷体" w:eastAsia="仿宋_GB2312"/>
          <w:b/>
          <w:bCs/>
          <w:sz w:val="28"/>
          <w:szCs w:val="28"/>
        </w:rPr>
        <w:t>1</w:t>
      </w:r>
      <w:r>
        <w:rPr>
          <w:rFonts w:ascii="仿宋_GB2312" w:hAnsi="楷体" w:eastAsia="仿宋_GB2312"/>
          <w:b/>
          <w:bCs/>
          <w:sz w:val="28"/>
          <w:szCs w:val="28"/>
        </w:rPr>
        <w:t>.</w:t>
      </w:r>
      <w:r>
        <w:rPr>
          <w:rFonts w:hint="eastAsia" w:ascii="仿宋_GB2312" w:hAnsi="楷体" w:eastAsia="仿宋_GB2312"/>
          <w:b/>
          <w:bCs/>
          <w:sz w:val="28"/>
          <w:szCs w:val="28"/>
        </w:rPr>
        <w:t>案例结构</w:t>
      </w:r>
    </w:p>
    <w:p w14:paraId="33C96E41">
      <w:pPr>
        <w:spacing w:line="480" w:lineRule="exact"/>
        <w:ind w:firstLine="560" w:firstLineChars="200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（1）背景与问题（</w:t>
      </w:r>
      <w:r>
        <w:rPr>
          <w:rFonts w:hint="eastAsia" w:ascii="楷体_GB2312" w:hAnsi="楷体" w:eastAsia="楷体_GB2312"/>
          <w:sz w:val="28"/>
          <w:szCs w:val="28"/>
        </w:rPr>
        <w:t>拟解决什么评价问题</w:t>
      </w:r>
      <w:r>
        <w:rPr>
          <w:rFonts w:hint="eastAsia" w:ascii="仿宋_GB2312" w:hAnsi="楷体" w:eastAsia="仿宋_GB2312"/>
          <w:sz w:val="28"/>
          <w:szCs w:val="28"/>
        </w:rPr>
        <w:t>）</w:t>
      </w:r>
    </w:p>
    <w:p w14:paraId="519792EC">
      <w:pPr>
        <w:spacing w:line="480" w:lineRule="exact"/>
        <w:ind w:firstLine="560" w:firstLineChars="200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（2）理念与做法（</w:t>
      </w:r>
      <w:r>
        <w:rPr>
          <w:rFonts w:hint="eastAsia" w:ascii="楷体_GB2312" w:hAnsi="楷体" w:eastAsia="楷体_GB2312"/>
          <w:sz w:val="28"/>
          <w:szCs w:val="28"/>
        </w:rPr>
        <w:t>如何解决问题</w:t>
      </w:r>
      <w:r>
        <w:rPr>
          <w:rFonts w:hint="eastAsia" w:ascii="仿宋_GB2312" w:hAnsi="楷体" w:eastAsia="仿宋_GB2312"/>
          <w:sz w:val="28"/>
          <w:szCs w:val="28"/>
        </w:rPr>
        <w:t>）</w:t>
      </w:r>
    </w:p>
    <w:p w14:paraId="3EEC435F">
      <w:pPr>
        <w:spacing w:line="480" w:lineRule="exact"/>
        <w:ind w:firstLine="560" w:firstLineChars="200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（3）</w:t>
      </w:r>
      <w:r>
        <w:rPr>
          <w:rFonts w:ascii="仿宋_GB2312" w:hAnsi="楷体" w:eastAsia="仿宋_GB2312"/>
          <w:sz w:val="28"/>
          <w:szCs w:val="28"/>
        </w:rPr>
        <w:t>亮点</w:t>
      </w:r>
      <w:r>
        <w:rPr>
          <w:rFonts w:hint="eastAsia" w:ascii="仿宋_GB2312" w:hAnsi="楷体" w:eastAsia="仿宋_GB2312"/>
          <w:sz w:val="28"/>
          <w:szCs w:val="28"/>
        </w:rPr>
        <w:t>与成效（</w:t>
      </w:r>
      <w:r>
        <w:rPr>
          <w:rFonts w:hint="eastAsia" w:ascii="楷体_GB2312" w:hAnsi="楷体" w:eastAsia="楷体_GB2312"/>
          <w:sz w:val="28"/>
          <w:szCs w:val="28"/>
        </w:rPr>
        <w:t>案例亮点是什么；实施效果如何</w:t>
      </w:r>
      <w:r>
        <w:rPr>
          <w:rFonts w:hint="eastAsia" w:ascii="仿宋_GB2312" w:hAnsi="楷体" w:eastAsia="仿宋_GB2312"/>
          <w:sz w:val="28"/>
          <w:szCs w:val="28"/>
        </w:rPr>
        <w:t>）</w:t>
      </w:r>
    </w:p>
    <w:p w14:paraId="4C047DAB">
      <w:pPr>
        <w:spacing w:line="480" w:lineRule="exact"/>
        <w:ind w:firstLine="560" w:firstLineChars="200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（4）反思与改进（</w:t>
      </w:r>
      <w:r>
        <w:rPr>
          <w:rFonts w:hint="eastAsia" w:ascii="楷体_GB2312" w:hAnsi="楷体" w:eastAsia="楷体_GB2312"/>
          <w:sz w:val="28"/>
          <w:szCs w:val="28"/>
        </w:rPr>
        <w:t>有哪些</w:t>
      </w:r>
      <w:r>
        <w:rPr>
          <w:rFonts w:hint="eastAsia" w:ascii="楷体_GB2312" w:hAnsi="楷体" w:eastAsia="楷体_GB2312"/>
          <w:sz w:val="28"/>
          <w:szCs w:val="28"/>
          <w:lang w:val="en-US" w:eastAsia="zh-CN"/>
        </w:rPr>
        <w:t>不足以及需要</w:t>
      </w:r>
      <w:r>
        <w:rPr>
          <w:rFonts w:hint="eastAsia" w:ascii="楷体_GB2312" w:hAnsi="楷体" w:eastAsia="楷体_GB2312"/>
          <w:sz w:val="28"/>
          <w:szCs w:val="28"/>
        </w:rPr>
        <w:t>待改进</w:t>
      </w:r>
      <w:r>
        <w:rPr>
          <w:rFonts w:hint="eastAsia" w:ascii="楷体_GB2312" w:hAnsi="楷体" w:eastAsia="楷体_GB2312"/>
          <w:sz w:val="28"/>
          <w:szCs w:val="28"/>
          <w:lang w:val="en-US" w:eastAsia="zh-CN"/>
        </w:rPr>
        <w:t>的地方</w:t>
      </w:r>
      <w:r>
        <w:rPr>
          <w:rFonts w:hint="eastAsia" w:ascii="仿宋_GB2312" w:hAnsi="楷体" w:eastAsia="仿宋_GB2312"/>
          <w:sz w:val="28"/>
          <w:szCs w:val="28"/>
        </w:rPr>
        <w:t>）</w:t>
      </w:r>
    </w:p>
    <w:p w14:paraId="66CDFDF8">
      <w:pPr>
        <w:spacing w:line="480" w:lineRule="exact"/>
        <w:ind w:firstLine="560" w:firstLineChars="200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案例要涵盖上述内容，标题表述可自拟。</w:t>
      </w:r>
    </w:p>
    <w:p w14:paraId="223B479A">
      <w:pPr>
        <w:spacing w:line="480" w:lineRule="exact"/>
        <w:ind w:firstLine="562" w:firstLineChars="200"/>
        <w:rPr>
          <w:rFonts w:ascii="仿宋_GB2312" w:hAnsi="楷体" w:eastAsia="仿宋_GB2312"/>
          <w:b/>
          <w:bCs/>
          <w:sz w:val="28"/>
          <w:szCs w:val="28"/>
        </w:rPr>
      </w:pPr>
      <w:r>
        <w:rPr>
          <w:rFonts w:hint="eastAsia" w:ascii="仿宋_GB2312" w:hAnsi="楷体" w:eastAsia="仿宋_GB2312"/>
          <w:b/>
          <w:bCs/>
          <w:sz w:val="28"/>
          <w:szCs w:val="28"/>
        </w:rPr>
        <w:t>2</w:t>
      </w:r>
      <w:r>
        <w:rPr>
          <w:rFonts w:ascii="仿宋_GB2312" w:hAnsi="楷体" w:eastAsia="仿宋_GB2312"/>
          <w:b/>
          <w:bCs/>
          <w:sz w:val="28"/>
          <w:szCs w:val="28"/>
        </w:rPr>
        <w:t>.</w:t>
      </w:r>
      <w:r>
        <w:rPr>
          <w:rFonts w:hint="eastAsia" w:ascii="仿宋_GB2312" w:hAnsi="楷体" w:eastAsia="仿宋_GB2312"/>
          <w:b/>
          <w:bCs/>
          <w:sz w:val="28"/>
          <w:szCs w:val="28"/>
        </w:rPr>
        <w:t>行文格式</w:t>
      </w:r>
    </w:p>
    <w:p w14:paraId="55CE40FC">
      <w:pPr>
        <w:spacing w:line="480" w:lineRule="exact"/>
        <w:ind w:firstLine="560" w:firstLineChars="200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（1</w:t>
      </w:r>
      <w:r>
        <w:rPr>
          <w:rFonts w:ascii="仿宋_GB2312" w:hAnsi="楷体" w:eastAsia="仿宋_GB2312"/>
          <w:sz w:val="28"/>
          <w:szCs w:val="28"/>
        </w:rPr>
        <w:t>）</w:t>
      </w:r>
      <w:r>
        <w:rPr>
          <w:rFonts w:hint="eastAsia" w:ascii="仿宋_GB2312" w:hAnsi="楷体" w:eastAsia="仿宋_GB2312"/>
          <w:sz w:val="28"/>
          <w:szCs w:val="28"/>
        </w:rPr>
        <w:t>标题</w:t>
      </w:r>
    </w:p>
    <w:p w14:paraId="1DDB3E0D">
      <w:pPr>
        <w:spacing w:line="480" w:lineRule="exact"/>
        <w:ind w:firstLine="560" w:firstLineChars="200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正文标题：四号、黑体字、加粗、居中；</w:t>
      </w:r>
    </w:p>
    <w:p w14:paraId="28DF1266">
      <w:pPr>
        <w:spacing w:line="480" w:lineRule="exact"/>
        <w:ind w:firstLine="560" w:firstLineChars="200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一级标题：小四号、黑体字、加粗，用“一、”“二、”“三、”……标识；</w:t>
      </w:r>
    </w:p>
    <w:p w14:paraId="10D18C61">
      <w:pPr>
        <w:spacing w:line="480" w:lineRule="exact"/>
        <w:ind w:firstLine="560" w:firstLineChars="200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二级标题：小四号、楷体字、加粗，用“(一)”“(二)”“(三)”……标识；</w:t>
      </w:r>
    </w:p>
    <w:p w14:paraId="520316FD">
      <w:pPr>
        <w:spacing w:line="480" w:lineRule="exact"/>
        <w:ind w:firstLine="560" w:firstLineChars="200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三级标题：小四号、仿宋字、加粗，用“1.”“ 2.”“ 3.”……标识；</w:t>
      </w:r>
    </w:p>
    <w:p w14:paraId="1FA7177B">
      <w:pPr>
        <w:spacing w:line="480" w:lineRule="exact"/>
        <w:ind w:firstLine="560" w:firstLineChars="200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（2</w:t>
      </w:r>
      <w:r>
        <w:rPr>
          <w:rFonts w:ascii="仿宋_GB2312" w:hAnsi="楷体" w:eastAsia="仿宋_GB2312"/>
          <w:sz w:val="28"/>
          <w:szCs w:val="28"/>
        </w:rPr>
        <w:t>）</w:t>
      </w:r>
      <w:r>
        <w:rPr>
          <w:rFonts w:hint="eastAsia" w:ascii="仿宋_GB2312" w:hAnsi="楷体" w:eastAsia="仿宋_GB2312"/>
          <w:sz w:val="28"/>
          <w:szCs w:val="28"/>
        </w:rPr>
        <w:t>其它</w:t>
      </w:r>
    </w:p>
    <w:p w14:paraId="7E87BA02">
      <w:pPr>
        <w:spacing w:line="480" w:lineRule="exact"/>
        <w:ind w:firstLine="560" w:firstLineChars="200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摘要（申报表）：150字以内，仿宋、小四号；</w:t>
      </w:r>
    </w:p>
    <w:p w14:paraId="17D6D8A4">
      <w:pPr>
        <w:spacing w:line="480" w:lineRule="exact"/>
        <w:ind w:firstLine="560" w:firstLineChars="200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正文：30</w:t>
      </w:r>
      <w:r>
        <w:rPr>
          <w:rFonts w:ascii="仿宋_GB2312" w:hAnsi="楷体" w:eastAsia="仿宋_GB2312"/>
          <w:sz w:val="28"/>
          <w:szCs w:val="28"/>
        </w:rPr>
        <w:t>00</w:t>
      </w:r>
      <w:r>
        <w:rPr>
          <w:rFonts w:hint="eastAsia" w:ascii="仿宋_GB2312" w:hAnsi="楷体" w:eastAsia="仿宋_GB2312"/>
          <w:sz w:val="28"/>
          <w:szCs w:val="28"/>
        </w:rPr>
        <w:t>字以内，仿宋、小四号，1</w:t>
      </w:r>
      <w:r>
        <w:rPr>
          <w:rFonts w:ascii="仿宋_GB2312" w:hAnsi="楷体" w:eastAsia="仿宋_GB2312"/>
          <w:sz w:val="28"/>
          <w:szCs w:val="28"/>
        </w:rPr>
        <w:t>.5</w:t>
      </w:r>
      <w:r>
        <w:rPr>
          <w:rFonts w:hint="eastAsia" w:ascii="仿宋_GB2312" w:hAnsi="楷体" w:eastAsia="仿宋_GB2312"/>
          <w:sz w:val="28"/>
          <w:szCs w:val="28"/>
        </w:rPr>
        <w:t>倍行距，两端对齐；</w:t>
      </w:r>
    </w:p>
    <w:p w14:paraId="09EB1743">
      <w:pPr>
        <w:spacing w:line="480" w:lineRule="exact"/>
        <w:ind w:firstLine="560" w:firstLineChars="200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引注：脚注，仿宋、小五号；</w:t>
      </w:r>
    </w:p>
    <w:p w14:paraId="592B2F84">
      <w:pPr>
        <w:spacing w:line="480" w:lineRule="exact"/>
        <w:ind w:firstLine="560" w:firstLineChars="200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参考文献：仿宋、小四号。</w:t>
      </w:r>
    </w:p>
    <w:p w14:paraId="165168CE">
      <w:pPr>
        <w:spacing w:line="480" w:lineRule="exact"/>
        <w:ind w:firstLine="560" w:firstLineChars="200"/>
        <w:rPr>
          <w:rFonts w:hint="default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（四）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注意事项</w:t>
      </w:r>
    </w:p>
    <w:p w14:paraId="6E50D119">
      <w:pPr>
        <w:spacing w:line="480" w:lineRule="exact"/>
        <w:ind w:firstLine="560" w:firstLineChars="200"/>
        <w:rPr>
          <w:rFonts w:hint="eastAsia"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1.</w:t>
      </w:r>
      <w:r>
        <w:rPr>
          <w:rFonts w:hint="eastAsia" w:ascii="仿宋_GB2312" w:hAnsi="楷体" w:eastAsia="仿宋_GB2312"/>
          <w:sz w:val="28"/>
          <w:szCs w:val="28"/>
        </w:rPr>
        <w:t>申报案例应符合研究伦理与学术规范，严禁抄袭等学术不端行为。将对获奖案例全文进行重复率检测</w:t>
      </w: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以及AIGC生成内容检测</w:t>
      </w:r>
      <w:r>
        <w:rPr>
          <w:rFonts w:hint="eastAsia" w:ascii="仿宋_GB2312" w:hAnsi="楷体" w:eastAsia="仿宋_GB2312"/>
          <w:sz w:val="28"/>
          <w:szCs w:val="28"/>
        </w:rPr>
        <w:t>，检测结果超</w:t>
      </w: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限</w:t>
      </w:r>
      <w:r>
        <w:rPr>
          <w:rFonts w:hint="eastAsia" w:ascii="仿宋_GB2312" w:hAnsi="楷体" w:eastAsia="仿宋_GB2312"/>
          <w:sz w:val="28"/>
          <w:szCs w:val="28"/>
        </w:rPr>
        <w:t>则为不通过检测，不参与评奖。</w:t>
      </w:r>
    </w:p>
    <w:p w14:paraId="50EF43D6">
      <w:pPr>
        <w:spacing w:line="480" w:lineRule="exact"/>
        <w:ind w:firstLine="560" w:firstLineChars="200"/>
        <w:rPr>
          <w:rFonts w:hint="eastAsia"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2.</w:t>
      </w:r>
      <w:r>
        <w:rPr>
          <w:rFonts w:hint="eastAsia" w:ascii="仿宋_GB2312" w:hAnsi="楷体" w:eastAsia="仿宋_GB2312"/>
          <w:sz w:val="28"/>
          <w:szCs w:val="28"/>
        </w:rPr>
        <w:t>确保原创性，已在公开刊物发表的不予参评。</w:t>
      </w:r>
    </w:p>
    <w:p w14:paraId="63F0F72F">
      <w:pPr>
        <w:spacing w:line="480" w:lineRule="exact"/>
        <w:ind w:firstLine="560" w:firstLineChars="200"/>
        <w:rPr>
          <w:rFonts w:hint="eastAsia" w:ascii="仿宋_GB2312" w:hAnsi="楷体" w:eastAsia="仿宋_GB2312"/>
          <w:sz w:val="28"/>
          <w:szCs w:val="28"/>
          <w:lang w:val="en-US" w:eastAsia="zh-CN"/>
        </w:rPr>
      </w:pP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3.鼓励新成果，但拒绝简单重复。同一案例，如果核心内容、实践及成果未有实质性的、重大的创新与进展，不得重复申报。</w:t>
      </w:r>
    </w:p>
    <w:p w14:paraId="4837713A">
      <w:pPr>
        <w:spacing w:line="48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报送方式</w:t>
      </w:r>
    </w:p>
    <w:p w14:paraId="482E1F7C">
      <w:pPr>
        <w:spacing w:line="480" w:lineRule="exact"/>
        <w:ind w:firstLine="560" w:firstLineChars="200"/>
        <w:rPr>
          <w:rFonts w:ascii="仿宋_GB2312" w:hAnsi="楷体" w:eastAsia="仿宋_GB2312"/>
          <w:sz w:val="28"/>
          <w:szCs w:val="28"/>
        </w:rPr>
      </w:pPr>
      <w:r>
        <w:rPr>
          <w:rFonts w:ascii="仿宋_GB2312" w:hAnsi="楷体" w:eastAsia="仿宋_GB2312"/>
          <w:sz w:val="28"/>
          <w:szCs w:val="28"/>
        </w:rPr>
        <w:t>请各校高度重视，广泛动员，精心组织，严格把关，切实做好本校</w:t>
      </w:r>
      <w:r>
        <w:rPr>
          <w:rFonts w:hint="eastAsia" w:ascii="仿宋_GB2312" w:hAnsi="楷体" w:eastAsia="仿宋_GB2312"/>
          <w:sz w:val="28"/>
          <w:szCs w:val="28"/>
        </w:rPr>
        <w:t>的</w:t>
      </w:r>
      <w:r>
        <w:rPr>
          <w:rFonts w:ascii="仿宋_GB2312" w:hAnsi="楷体" w:eastAsia="仿宋_GB2312"/>
          <w:sz w:val="28"/>
          <w:szCs w:val="28"/>
        </w:rPr>
        <w:t>案例</w:t>
      </w:r>
      <w:r>
        <w:rPr>
          <w:rFonts w:hint="eastAsia" w:ascii="仿宋_GB2312" w:hAnsi="楷体" w:eastAsia="仿宋_GB2312"/>
          <w:sz w:val="28"/>
          <w:szCs w:val="28"/>
        </w:rPr>
        <w:t>推荐</w:t>
      </w:r>
      <w:r>
        <w:rPr>
          <w:rFonts w:ascii="仿宋_GB2312" w:hAnsi="楷体" w:eastAsia="仿宋_GB2312"/>
          <w:sz w:val="28"/>
          <w:szCs w:val="28"/>
        </w:rPr>
        <w:t>与申报工作，确保推荐</w:t>
      </w:r>
      <w:r>
        <w:rPr>
          <w:rFonts w:hint="eastAsia" w:ascii="仿宋_GB2312" w:hAnsi="楷体" w:eastAsia="仿宋_GB2312"/>
          <w:sz w:val="28"/>
          <w:szCs w:val="28"/>
        </w:rPr>
        <w:t>高质量、</w:t>
      </w:r>
      <w:r>
        <w:rPr>
          <w:rFonts w:ascii="仿宋_GB2312" w:hAnsi="楷体" w:eastAsia="仿宋_GB2312"/>
          <w:sz w:val="28"/>
          <w:szCs w:val="28"/>
        </w:rPr>
        <w:t>典型案例</w:t>
      </w:r>
      <w:r>
        <w:rPr>
          <w:rFonts w:hint="eastAsia" w:ascii="仿宋_GB2312" w:hAnsi="楷体" w:eastAsia="仿宋_GB2312"/>
          <w:sz w:val="28"/>
          <w:szCs w:val="28"/>
        </w:rPr>
        <w:t>。每人限报1篇，</w:t>
      </w: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幼儿园、</w:t>
      </w:r>
      <w:r>
        <w:rPr>
          <w:rFonts w:hint="eastAsia" w:ascii="仿宋_GB2312" w:hAnsi="楷体" w:eastAsia="仿宋_GB2312"/>
          <w:sz w:val="28"/>
          <w:szCs w:val="28"/>
        </w:rPr>
        <w:t>小学、初中、高中限报3篇（不同校区分别计算），</w:t>
      </w: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九年</w:t>
      </w:r>
      <w:r>
        <w:rPr>
          <w:rFonts w:hint="eastAsia" w:ascii="仿宋_GB2312" w:hAnsi="楷体" w:eastAsia="仿宋_GB2312"/>
          <w:sz w:val="28"/>
          <w:szCs w:val="28"/>
        </w:rPr>
        <w:t>一贯制学校和完中限报6篇</w:t>
      </w:r>
      <w:r>
        <w:rPr>
          <w:rFonts w:hint="eastAsia" w:ascii="仿宋_GB2312" w:hAnsi="楷体" w:eastAsia="仿宋_GB2312"/>
          <w:sz w:val="28"/>
          <w:szCs w:val="28"/>
          <w:lang w:eastAsia="zh-CN"/>
        </w:rPr>
        <w:t>，</w:t>
      </w: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十二年一贯制学校限报9篇</w:t>
      </w:r>
      <w:r>
        <w:rPr>
          <w:rFonts w:hint="eastAsia" w:ascii="仿宋_GB2312" w:hAnsi="楷体" w:eastAsia="仿宋_GB2312"/>
          <w:sz w:val="28"/>
          <w:szCs w:val="28"/>
        </w:rPr>
        <w:t>。</w:t>
      </w:r>
    </w:p>
    <w:p w14:paraId="0589A170">
      <w:pPr>
        <w:spacing w:line="480" w:lineRule="exact"/>
        <w:ind w:firstLine="562" w:firstLineChars="200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b/>
          <w:bCs/>
          <w:sz w:val="28"/>
          <w:szCs w:val="28"/>
        </w:rPr>
        <w:t>以校为单位</w:t>
      </w:r>
      <w:r>
        <w:rPr>
          <w:rFonts w:hint="eastAsia" w:ascii="仿宋_GB2312" w:hAnsi="楷体" w:eastAsia="仿宋_GB2312"/>
          <w:sz w:val="28"/>
          <w:szCs w:val="28"/>
        </w:rPr>
        <w:t>，填写信息、报送材料，具体为：</w:t>
      </w:r>
    </w:p>
    <w:p w14:paraId="3942799B">
      <w:pPr>
        <w:spacing w:line="480" w:lineRule="exact"/>
        <w:ind w:firstLine="560" w:firstLineChars="200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1</w:t>
      </w: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楷体" w:eastAsia="仿宋_GB2312"/>
          <w:sz w:val="28"/>
          <w:szCs w:val="28"/>
        </w:rPr>
        <w:t>月</w:t>
      </w: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4</w:t>
      </w:r>
      <w:r>
        <w:rPr>
          <w:rFonts w:ascii="仿宋_GB2312" w:hAnsi="楷体" w:eastAsia="仿宋_GB2312"/>
          <w:sz w:val="28"/>
          <w:szCs w:val="28"/>
        </w:rPr>
        <w:t>-</w:t>
      </w: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楷体" w:eastAsia="仿宋_GB2312"/>
          <w:sz w:val="28"/>
          <w:szCs w:val="28"/>
        </w:rPr>
        <w:t>日，通过问卷星，填写统一报送材料人员信息（附件1）；</w:t>
      </w:r>
    </w:p>
    <w:p w14:paraId="34D317B6">
      <w:pPr>
        <w:spacing w:line="480" w:lineRule="exact"/>
        <w:ind w:firstLine="560" w:firstLineChars="200"/>
        <w:rPr>
          <w:rFonts w:ascii="仿宋_GB2312" w:hAnsi="楷体" w:eastAsia="仿宋_GB2312"/>
          <w:sz w:val="28"/>
          <w:szCs w:val="28"/>
        </w:rPr>
      </w:pPr>
      <w:r>
        <w:rPr>
          <w:rFonts w:ascii="仿宋_GB2312" w:hAnsi="楷体" w:eastAsia="仿宋_GB2312"/>
          <w:sz w:val="28"/>
          <w:szCs w:val="28"/>
        </w:rPr>
        <w:t>12</w:t>
      </w:r>
      <w:r>
        <w:rPr>
          <w:rFonts w:hint="eastAsia" w:ascii="仿宋_GB2312" w:hAnsi="楷体" w:eastAsia="仿宋_GB2312"/>
          <w:sz w:val="28"/>
          <w:szCs w:val="28"/>
        </w:rPr>
        <w:t>月</w:t>
      </w: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8</w:t>
      </w:r>
      <w:r>
        <w:rPr>
          <w:rFonts w:ascii="仿宋_GB2312" w:hAnsi="楷体" w:eastAsia="仿宋_GB2312"/>
          <w:sz w:val="28"/>
          <w:szCs w:val="28"/>
        </w:rPr>
        <w:t>-</w:t>
      </w: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12</w:t>
      </w:r>
      <w:r>
        <w:rPr>
          <w:rFonts w:hint="eastAsia" w:ascii="仿宋_GB2312" w:hAnsi="楷体" w:eastAsia="仿宋_GB2312"/>
          <w:sz w:val="28"/>
          <w:szCs w:val="28"/>
        </w:rPr>
        <w:t>日，通过“浦东新区教育教学质量分析平台”（http://10.66.110.108），打包上传学校</w:t>
      </w:r>
      <w:r>
        <w:rPr>
          <w:rFonts w:hint="eastAsia" w:ascii="仿宋_GB2312" w:hAnsi="楷体" w:eastAsia="仿宋_GB2312"/>
          <w:b/>
          <w:bCs/>
          <w:sz w:val="28"/>
          <w:szCs w:val="28"/>
        </w:rPr>
        <w:t>所有的</w:t>
      </w:r>
      <w:r>
        <w:rPr>
          <w:rFonts w:hint="eastAsia" w:ascii="仿宋_GB2312" w:hAnsi="楷体" w:eastAsia="仿宋_GB2312"/>
          <w:sz w:val="28"/>
          <w:szCs w:val="28"/>
        </w:rPr>
        <w:t>申报材</w:t>
      </w: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料（操作步骤见附件2）</w:t>
      </w:r>
      <w:r>
        <w:rPr>
          <w:rFonts w:hint="eastAsia" w:ascii="仿宋_GB2312" w:hAnsi="楷体" w:eastAsia="仿宋_GB2312"/>
          <w:sz w:val="28"/>
          <w:szCs w:val="28"/>
          <w:lang w:eastAsia="zh-CN"/>
        </w:rPr>
        <w:t>：</w:t>
      </w:r>
      <w:r>
        <w:rPr>
          <w:rFonts w:ascii="仿宋_GB2312" w:hAnsi="楷体" w:eastAsia="仿宋_GB2312"/>
          <w:sz w:val="28"/>
          <w:szCs w:val="28"/>
        </w:rPr>
        <w:fldChar w:fldCharType="begin"/>
      </w:r>
      <w:r>
        <w:rPr>
          <w:rFonts w:ascii="仿宋_GB2312" w:hAnsi="楷体" w:eastAsia="仿宋_GB2312"/>
          <w:sz w:val="28"/>
          <w:szCs w:val="28"/>
        </w:rPr>
        <w:instrText xml:space="preserve"> </w:instrText>
      </w:r>
      <w:r>
        <w:rPr>
          <w:rFonts w:hint="eastAsia" w:ascii="仿宋_GB2312" w:hAnsi="楷体" w:eastAsia="仿宋_GB2312"/>
          <w:sz w:val="28"/>
          <w:szCs w:val="28"/>
        </w:rPr>
        <w:instrText xml:space="preserve">= 1 \* GB3</w:instrText>
      </w:r>
      <w:r>
        <w:rPr>
          <w:rFonts w:ascii="仿宋_GB2312" w:hAnsi="楷体" w:eastAsia="仿宋_GB2312"/>
          <w:sz w:val="28"/>
          <w:szCs w:val="28"/>
        </w:rPr>
        <w:instrText xml:space="preserve"> </w:instrText>
      </w:r>
      <w:r>
        <w:rPr>
          <w:rFonts w:ascii="仿宋_GB2312" w:hAnsi="楷体" w:eastAsia="仿宋_GB2312"/>
          <w:sz w:val="28"/>
          <w:szCs w:val="28"/>
        </w:rPr>
        <w:fldChar w:fldCharType="separate"/>
      </w:r>
      <w:r>
        <w:rPr>
          <w:rFonts w:hint="eastAsia" w:ascii="仿宋_GB2312" w:hAnsi="楷体" w:eastAsia="仿宋_GB2312"/>
          <w:sz w:val="28"/>
          <w:szCs w:val="28"/>
        </w:rPr>
        <w:t>①</w:t>
      </w:r>
      <w:r>
        <w:rPr>
          <w:rFonts w:ascii="仿宋_GB2312" w:hAnsi="楷体" w:eastAsia="仿宋_GB2312"/>
          <w:sz w:val="28"/>
          <w:szCs w:val="28"/>
        </w:rPr>
        <w:fldChar w:fldCharType="end"/>
      </w:r>
      <w:r>
        <w:rPr>
          <w:rFonts w:ascii="仿宋_GB2312" w:hAnsi="楷体" w:eastAsia="仿宋_GB2312"/>
          <w:sz w:val="28"/>
          <w:szCs w:val="28"/>
        </w:rPr>
        <w:t>《</w:t>
      </w:r>
      <w:r>
        <w:rPr>
          <w:rFonts w:hint="eastAsia" w:ascii="仿宋_GB2312" w:hAnsi="楷体" w:eastAsia="仿宋_GB2312"/>
          <w:sz w:val="28"/>
          <w:szCs w:val="28"/>
        </w:rPr>
        <w:t>浦东新区</w:t>
      </w:r>
      <w:r>
        <w:rPr>
          <w:rFonts w:ascii="仿宋_GB2312" w:hAnsi="楷体" w:eastAsia="仿宋_GB2312"/>
          <w:sz w:val="28"/>
          <w:szCs w:val="28"/>
        </w:rPr>
        <w:t>教育评价改革案例申报表》</w:t>
      </w:r>
      <w:r>
        <w:rPr>
          <w:rFonts w:hint="eastAsia" w:ascii="仿宋_GB2312" w:hAnsi="楷体" w:eastAsia="仿宋_GB2312"/>
          <w:sz w:val="28"/>
          <w:szCs w:val="28"/>
        </w:rPr>
        <w:t>（附件</w:t>
      </w: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楷体" w:eastAsia="仿宋_GB2312"/>
          <w:sz w:val="28"/>
          <w:szCs w:val="28"/>
        </w:rPr>
        <w:t>）</w:t>
      </w:r>
      <w:r>
        <w:rPr>
          <w:rFonts w:hint="eastAsia" w:ascii="仿宋_GB2312" w:hAnsi="楷体" w:eastAsia="仿宋_GB2312"/>
          <w:sz w:val="28"/>
          <w:szCs w:val="28"/>
          <w:lang w:eastAsia="zh-CN"/>
        </w:rPr>
        <w:t>。</w:t>
      </w:r>
      <w:r>
        <w:rPr>
          <w:rFonts w:hint="eastAsia" w:ascii="仿宋_GB2312" w:hAnsi="楷体" w:eastAsia="仿宋_GB2312"/>
          <w:sz w:val="28"/>
          <w:szCs w:val="28"/>
        </w:rPr>
        <w:t>盖学校章，</w:t>
      </w:r>
      <w:r>
        <w:rPr>
          <w:rFonts w:ascii="仿宋_GB2312" w:hAnsi="楷体" w:eastAsia="仿宋_GB2312"/>
          <w:sz w:val="28"/>
          <w:szCs w:val="28"/>
        </w:rPr>
        <w:t>以</w:t>
      </w:r>
      <w:r>
        <w:rPr>
          <w:rFonts w:hint="eastAsia" w:ascii="仿宋_GB2312" w:hAnsi="楷体" w:eastAsia="仿宋_GB2312"/>
          <w:sz w:val="28"/>
          <w:szCs w:val="28"/>
        </w:rPr>
        <w:t>“申报表-学校名称-教师姓名”为文件名，提交PDF版本；</w:t>
      </w:r>
      <w:r>
        <w:rPr>
          <w:rFonts w:ascii="仿宋_GB2312" w:hAnsi="楷体" w:eastAsia="仿宋_GB2312"/>
          <w:sz w:val="28"/>
          <w:szCs w:val="28"/>
        </w:rPr>
        <w:fldChar w:fldCharType="begin"/>
      </w:r>
      <w:r>
        <w:rPr>
          <w:rFonts w:ascii="仿宋_GB2312" w:hAnsi="楷体" w:eastAsia="仿宋_GB2312"/>
          <w:sz w:val="28"/>
          <w:szCs w:val="28"/>
        </w:rPr>
        <w:instrText xml:space="preserve"> </w:instrText>
      </w:r>
      <w:r>
        <w:rPr>
          <w:rFonts w:hint="eastAsia" w:ascii="仿宋_GB2312" w:hAnsi="楷体" w:eastAsia="仿宋_GB2312"/>
          <w:sz w:val="28"/>
          <w:szCs w:val="28"/>
        </w:rPr>
        <w:instrText xml:space="preserve">= 2 \* GB3</w:instrText>
      </w:r>
      <w:r>
        <w:rPr>
          <w:rFonts w:ascii="仿宋_GB2312" w:hAnsi="楷体" w:eastAsia="仿宋_GB2312"/>
          <w:sz w:val="28"/>
          <w:szCs w:val="28"/>
        </w:rPr>
        <w:instrText xml:space="preserve"> </w:instrText>
      </w:r>
      <w:r>
        <w:rPr>
          <w:rFonts w:ascii="仿宋_GB2312" w:hAnsi="楷体" w:eastAsia="仿宋_GB2312"/>
          <w:sz w:val="28"/>
          <w:szCs w:val="28"/>
        </w:rPr>
        <w:fldChar w:fldCharType="separate"/>
      </w:r>
      <w:r>
        <w:rPr>
          <w:rFonts w:hint="eastAsia" w:ascii="仿宋_GB2312" w:hAnsi="楷体" w:eastAsia="仿宋_GB2312"/>
          <w:sz w:val="28"/>
          <w:szCs w:val="28"/>
        </w:rPr>
        <w:t>②</w:t>
      </w:r>
      <w:r>
        <w:rPr>
          <w:rFonts w:ascii="仿宋_GB2312" w:hAnsi="楷体" w:eastAsia="仿宋_GB2312"/>
          <w:sz w:val="28"/>
          <w:szCs w:val="28"/>
        </w:rPr>
        <w:fldChar w:fldCharType="end"/>
      </w:r>
      <w:r>
        <w:rPr>
          <w:rFonts w:hint="eastAsia" w:ascii="仿宋_GB2312" w:hAnsi="楷体" w:eastAsia="仿宋_GB2312"/>
          <w:sz w:val="28"/>
          <w:szCs w:val="28"/>
        </w:rPr>
        <w:t>案例正文。</w:t>
      </w:r>
      <w:r>
        <w:rPr>
          <w:rFonts w:hint="eastAsia" w:ascii="仿宋_GB2312" w:hAnsi="楷体" w:eastAsia="仿宋_GB2312"/>
          <w:b/>
          <w:bCs/>
          <w:sz w:val="28"/>
          <w:szCs w:val="28"/>
        </w:rPr>
        <w:t>正文不出现个人姓名、所在单位等信息</w:t>
      </w:r>
      <w:r>
        <w:rPr>
          <w:rFonts w:hint="eastAsia" w:ascii="仿宋_GB2312" w:hAnsi="楷体" w:eastAsia="仿宋_GB2312"/>
          <w:sz w:val="28"/>
          <w:szCs w:val="28"/>
        </w:rPr>
        <w:t>，以“案例-学校名称-案例名称-教师姓名”为文件名，提交WORD版本。</w:t>
      </w:r>
    </w:p>
    <w:p w14:paraId="2585BADB">
      <w:pPr>
        <w:spacing w:line="480" w:lineRule="exact"/>
        <w:ind w:firstLine="43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四、评奖与成果推广</w:t>
      </w:r>
    </w:p>
    <w:p w14:paraId="165E237A">
      <w:pPr>
        <w:spacing w:line="48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（一）评奖</w:t>
      </w:r>
    </w:p>
    <w:p w14:paraId="3483B079">
      <w:pPr>
        <w:spacing w:line="480" w:lineRule="exact"/>
        <w:ind w:firstLine="560" w:firstLineChars="200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根据专家组评审结果，评选出一、二、三等奖，颁发获奖证书。</w:t>
      </w:r>
    </w:p>
    <w:p w14:paraId="4855634C">
      <w:pPr>
        <w:spacing w:line="48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（二）报送参评市级教育评价改革优秀案例</w:t>
      </w:r>
    </w:p>
    <w:p w14:paraId="0ECF46CF">
      <w:pPr>
        <w:spacing w:line="480" w:lineRule="exact"/>
        <w:ind w:firstLine="560" w:firstLineChars="200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将从获奖案例中</w:t>
      </w: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择优</w:t>
      </w:r>
      <w:r>
        <w:rPr>
          <w:rFonts w:hint="eastAsia" w:ascii="仿宋_GB2312" w:hAnsi="楷体" w:eastAsia="仿宋_GB2312"/>
          <w:sz w:val="28"/>
          <w:szCs w:val="28"/>
        </w:rPr>
        <w:t>推荐参评上海市教育评价改革优秀案例。</w:t>
      </w:r>
    </w:p>
    <w:p w14:paraId="533456F2">
      <w:pPr>
        <w:spacing w:line="480" w:lineRule="exact"/>
        <w:ind w:firstLine="560" w:firstLineChars="200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特此</w:t>
      </w:r>
      <w:r>
        <w:rPr>
          <w:rFonts w:ascii="仿宋_GB2312" w:hAnsi="楷体" w:eastAsia="仿宋_GB2312"/>
          <w:sz w:val="28"/>
          <w:szCs w:val="28"/>
        </w:rPr>
        <w:t>通知。</w:t>
      </w:r>
    </w:p>
    <w:p w14:paraId="75F1F852">
      <w:pPr>
        <w:spacing w:line="480" w:lineRule="exact"/>
        <w:ind w:firstLine="560" w:firstLineChars="200"/>
        <w:rPr>
          <w:rFonts w:ascii="仿宋_GB2312" w:hAnsi="楷体" w:eastAsia="仿宋_GB2312"/>
          <w:sz w:val="28"/>
          <w:szCs w:val="28"/>
        </w:rPr>
      </w:pPr>
    </w:p>
    <w:p w14:paraId="386C3214">
      <w:pPr>
        <w:spacing w:line="480" w:lineRule="exact"/>
        <w:ind w:firstLine="560" w:firstLineChars="200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联系人：邓</w:t>
      </w: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老师</w:t>
      </w:r>
      <w:r>
        <w:rPr>
          <w:rFonts w:hint="eastAsia" w:ascii="仿宋_GB2312" w:hAnsi="楷体" w:eastAsia="仿宋_GB2312"/>
          <w:sz w:val="28"/>
          <w:szCs w:val="28"/>
        </w:rPr>
        <w:t>，5</w:t>
      </w:r>
      <w:r>
        <w:rPr>
          <w:rFonts w:ascii="仿宋_GB2312" w:hAnsi="楷体" w:eastAsia="仿宋_GB2312"/>
          <w:sz w:val="28"/>
          <w:szCs w:val="28"/>
        </w:rPr>
        <w:t>09481</w:t>
      </w:r>
      <w:r>
        <w:rPr>
          <w:rFonts w:hint="eastAsia" w:ascii="仿宋_GB2312" w:hAnsi="楷体" w:eastAsia="仿宋_GB2312"/>
          <w:sz w:val="28"/>
          <w:szCs w:val="28"/>
        </w:rPr>
        <w:t>21。</w:t>
      </w:r>
    </w:p>
    <w:p w14:paraId="5FF50A01">
      <w:pPr>
        <w:spacing w:line="480" w:lineRule="exact"/>
        <w:ind w:firstLine="560" w:firstLineChars="200"/>
        <w:rPr>
          <w:rFonts w:ascii="仿宋_GB2312" w:hAnsi="楷体" w:eastAsia="仿宋_GB2312"/>
          <w:sz w:val="28"/>
          <w:szCs w:val="28"/>
        </w:rPr>
      </w:pPr>
    </w:p>
    <w:p w14:paraId="3670ECF1">
      <w:pPr>
        <w:spacing w:line="480" w:lineRule="exact"/>
        <w:ind w:firstLine="560" w:firstLineChars="200"/>
        <w:rPr>
          <w:rFonts w:ascii="仿宋_GB2312" w:hAnsi="楷体" w:eastAsia="仿宋_GB2312"/>
          <w:sz w:val="28"/>
          <w:szCs w:val="28"/>
        </w:rPr>
      </w:pPr>
      <w:r>
        <w:rPr>
          <w:rFonts w:ascii="仿宋_GB2312" w:hAnsi="楷体" w:eastAsia="仿宋_GB2312"/>
          <w:sz w:val="28"/>
          <w:szCs w:val="28"/>
        </w:rPr>
        <w:t>附件：</w:t>
      </w:r>
    </w:p>
    <w:p w14:paraId="3E438912">
      <w:pPr>
        <w:spacing w:line="480" w:lineRule="exact"/>
        <w:ind w:firstLine="560" w:firstLineChars="200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1.</w:t>
      </w:r>
      <w:r>
        <w:rPr>
          <w:rFonts w:hint="eastAsia" w:ascii="仿宋_GB2312" w:hAnsi="楷体" w:eastAsia="仿宋_GB2312"/>
          <w:sz w:val="28"/>
          <w:szCs w:val="28"/>
          <w:lang w:eastAsia="zh-CN"/>
        </w:rPr>
        <w:t>2025</w:t>
      </w:r>
      <w:r>
        <w:rPr>
          <w:rFonts w:hint="eastAsia" w:ascii="仿宋_GB2312" w:hAnsi="楷体" w:eastAsia="仿宋_GB2312"/>
          <w:sz w:val="28"/>
          <w:szCs w:val="28"/>
        </w:rPr>
        <w:t>年浦东新区教育评价改革案例材料报送人员信息表</w:t>
      </w:r>
    </w:p>
    <w:p w14:paraId="149CBF28">
      <w:pPr>
        <w:spacing w:line="480" w:lineRule="exact"/>
        <w:ind w:firstLine="560" w:firstLineChars="200"/>
        <w:rPr>
          <w:rFonts w:hint="default" w:ascii="仿宋_GB2312" w:hAnsi="楷体" w:eastAsia="仿宋_GB2312"/>
          <w:sz w:val="28"/>
          <w:szCs w:val="28"/>
          <w:lang w:val="en-US" w:eastAsia="zh-CN"/>
        </w:rPr>
      </w:pPr>
      <w:r>
        <w:rPr>
          <w:rFonts w:hint="eastAsia" w:ascii="仿宋_GB2312" w:hAnsi="楷体" w:eastAsia="仿宋_GB2312"/>
          <w:sz w:val="28"/>
          <w:szCs w:val="28"/>
        </w:rPr>
        <w:t>2.</w:t>
      </w: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平台操作说明</w:t>
      </w:r>
    </w:p>
    <w:p w14:paraId="7C61B0AE">
      <w:pPr>
        <w:spacing w:line="480" w:lineRule="exact"/>
        <w:ind w:firstLine="560" w:firstLineChars="200"/>
        <w:rPr>
          <w:rFonts w:hint="default" w:ascii="仿宋_GB2312" w:hAnsi="楷体" w:eastAsia="仿宋_GB2312"/>
          <w:sz w:val="28"/>
          <w:szCs w:val="28"/>
          <w:lang w:val="en-US" w:eastAsia="zh-CN"/>
        </w:rPr>
      </w:pP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3.</w:t>
      </w:r>
      <w:r>
        <w:rPr>
          <w:rFonts w:hint="eastAsia" w:ascii="仿宋_GB2312" w:hAnsi="楷体" w:eastAsia="仿宋_GB2312"/>
          <w:sz w:val="28"/>
          <w:szCs w:val="28"/>
        </w:rPr>
        <w:t>浦东新区</w:t>
      </w:r>
      <w:r>
        <w:rPr>
          <w:rFonts w:ascii="仿宋_GB2312" w:hAnsi="楷体" w:eastAsia="仿宋_GB2312"/>
          <w:sz w:val="28"/>
          <w:szCs w:val="28"/>
        </w:rPr>
        <w:t>教育评价改革案例申报表</w:t>
      </w:r>
    </w:p>
    <w:p w14:paraId="245D74A7">
      <w:pPr>
        <w:spacing w:line="480" w:lineRule="exact"/>
        <w:ind w:firstLine="430"/>
        <w:jc w:val="right"/>
        <w:rPr>
          <w:rFonts w:ascii="黑体" w:hAnsi="黑体" w:eastAsia="黑体"/>
          <w:sz w:val="28"/>
          <w:szCs w:val="28"/>
        </w:rPr>
      </w:pPr>
    </w:p>
    <w:p w14:paraId="2B864AAC">
      <w:pPr>
        <w:spacing w:line="480" w:lineRule="exact"/>
        <w:ind w:firstLine="430"/>
        <w:jc w:val="right"/>
        <w:rPr>
          <w:rFonts w:ascii="黑体" w:hAnsi="黑体" w:eastAsia="黑体"/>
          <w:sz w:val="28"/>
          <w:szCs w:val="28"/>
        </w:rPr>
      </w:pPr>
    </w:p>
    <w:p w14:paraId="3ACA0184">
      <w:pPr>
        <w:spacing w:line="480" w:lineRule="exact"/>
        <w:ind w:firstLine="430"/>
        <w:jc w:val="right"/>
        <w:rPr>
          <w:rFonts w:ascii="仿宋_GB2312" w:hAnsi="黑体" w:eastAsia="仿宋_GB2312"/>
          <w:sz w:val="28"/>
          <w:szCs w:val="28"/>
        </w:rPr>
      </w:pPr>
      <w:r>
        <w:rPr>
          <w:rFonts w:hint="eastAsia" w:ascii="仿宋_GB2312" w:hAnsi="黑体" w:eastAsia="仿宋_GB2312"/>
          <w:sz w:val="28"/>
          <w:szCs w:val="28"/>
        </w:rPr>
        <w:t>上海市浦东教育发展研究院教育评价指导部</w:t>
      </w:r>
    </w:p>
    <w:p w14:paraId="72A8EA8F">
      <w:pPr>
        <w:spacing w:line="480" w:lineRule="exact"/>
        <w:ind w:firstLine="430"/>
        <w:jc w:val="right"/>
        <w:rPr>
          <w:rFonts w:ascii="仿宋_GB2312" w:hAnsi="黑体" w:eastAsia="仿宋_GB2312"/>
          <w:sz w:val="28"/>
          <w:szCs w:val="28"/>
        </w:rPr>
      </w:pPr>
      <w:r>
        <w:rPr>
          <w:rFonts w:hint="eastAsia" w:ascii="仿宋_GB2312" w:hAnsi="黑体" w:eastAsia="仿宋_GB2312"/>
          <w:sz w:val="28"/>
          <w:szCs w:val="28"/>
          <w:lang w:eastAsia="zh-CN"/>
        </w:rPr>
        <w:t>2025</w:t>
      </w:r>
      <w:r>
        <w:rPr>
          <w:rFonts w:hint="eastAsia" w:ascii="仿宋_GB2312" w:hAnsi="黑体" w:eastAsia="仿宋_GB2312"/>
          <w:sz w:val="28"/>
          <w:szCs w:val="28"/>
        </w:rPr>
        <w:t>年1</w:t>
      </w:r>
      <w:r>
        <w:rPr>
          <w:rFonts w:hint="eastAsia" w:ascii="仿宋_GB2312" w:hAnsi="黑体" w:eastAsia="仿宋_GB2312"/>
          <w:sz w:val="28"/>
          <w:szCs w:val="28"/>
          <w:lang w:val="en-US" w:eastAsia="zh-CN"/>
        </w:rPr>
        <w:t>1</w:t>
      </w:r>
      <w:r>
        <w:rPr>
          <w:rFonts w:hint="eastAsia" w:ascii="仿宋_GB2312" w:hAnsi="黑体" w:eastAsia="仿宋_GB2312"/>
          <w:sz w:val="28"/>
          <w:szCs w:val="28"/>
        </w:rPr>
        <w:t>月</w:t>
      </w:r>
      <w:r>
        <w:rPr>
          <w:rFonts w:hint="eastAsia" w:ascii="仿宋_GB2312" w:hAnsi="黑体" w:eastAsia="仿宋_GB2312"/>
          <w:sz w:val="28"/>
          <w:szCs w:val="28"/>
          <w:lang w:val="en-US" w:eastAsia="zh-CN"/>
        </w:rPr>
        <w:t>11</w:t>
      </w:r>
      <w:r>
        <w:rPr>
          <w:rFonts w:hint="eastAsia" w:ascii="仿宋_GB2312" w:hAnsi="黑体" w:eastAsia="仿宋_GB2312"/>
          <w:sz w:val="28"/>
          <w:szCs w:val="28"/>
        </w:rPr>
        <w:t>日</w:t>
      </w:r>
    </w:p>
    <w:p w14:paraId="5F68D12B">
      <w:pPr>
        <w:widowControl/>
        <w:jc w:val="left"/>
        <w:rPr>
          <w:rFonts w:ascii="黑体" w:hAnsi="黑体" w:eastAsia="黑体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黑体" w:hAnsi="黑体" w:eastAsia="黑体"/>
          <w:sz w:val="28"/>
          <w:szCs w:val="28"/>
        </w:rPr>
        <w:br w:type="page"/>
      </w:r>
    </w:p>
    <w:p w14:paraId="7FB1FC9A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附件1：</w:t>
      </w:r>
    </w:p>
    <w:p w14:paraId="00998912">
      <w:pPr>
        <w:widowControl/>
        <w:jc w:val="center"/>
        <w:rPr>
          <w:rFonts w:ascii="方正小标宋_GBK" w:hAnsi="楷体" w:eastAsia="方正小标宋_GBK"/>
          <w:b/>
          <w:bCs/>
          <w:sz w:val="32"/>
          <w:szCs w:val="32"/>
        </w:rPr>
      </w:pPr>
    </w:p>
    <w:p w14:paraId="6E21FB47">
      <w:pPr>
        <w:widowControl/>
        <w:jc w:val="center"/>
        <w:rPr>
          <w:rFonts w:ascii="方正小标宋_GBK" w:hAnsi="楷体" w:eastAsia="方正小标宋_GBK"/>
          <w:b/>
          <w:bCs/>
          <w:sz w:val="32"/>
          <w:szCs w:val="32"/>
        </w:rPr>
      </w:pPr>
      <w:r>
        <w:rPr>
          <w:rFonts w:hint="eastAsia" w:ascii="方正小标宋_GBK" w:hAnsi="楷体" w:eastAsia="方正小标宋_GBK"/>
          <w:b/>
          <w:bCs/>
          <w:sz w:val="32"/>
          <w:szCs w:val="32"/>
          <w:lang w:eastAsia="zh-CN"/>
        </w:rPr>
        <w:t>2025</w:t>
      </w:r>
      <w:r>
        <w:rPr>
          <w:rFonts w:hint="eastAsia" w:ascii="方正小标宋_GBK" w:hAnsi="楷体" w:eastAsia="方正小标宋_GBK"/>
          <w:b/>
          <w:bCs/>
          <w:sz w:val="32"/>
          <w:szCs w:val="32"/>
        </w:rPr>
        <w:t>年浦东新区教育评价改革案例材料报送人员信息表</w:t>
      </w:r>
    </w:p>
    <w:tbl>
      <w:tblPr>
        <w:tblStyle w:val="11"/>
        <w:tblpPr w:leftFromText="180" w:rightFromText="180" w:vertAnchor="text" w:horzAnchor="page" w:tblpX="1443" w:tblpY="346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4"/>
        <w:gridCol w:w="5072"/>
        <w:gridCol w:w="4238"/>
      </w:tblGrid>
      <w:tr w14:paraId="58170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4864" w:type="dxa"/>
            <w:vAlign w:val="center"/>
          </w:tcPr>
          <w:p w14:paraId="4D7C9259">
            <w:pPr>
              <w:widowControl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单位</w:t>
            </w:r>
          </w:p>
        </w:tc>
        <w:tc>
          <w:tcPr>
            <w:tcW w:w="5072" w:type="dxa"/>
            <w:vAlign w:val="center"/>
          </w:tcPr>
          <w:p w14:paraId="339B060F">
            <w:pPr>
              <w:widowControl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4238" w:type="dxa"/>
            <w:vAlign w:val="center"/>
          </w:tcPr>
          <w:p w14:paraId="5947F2B6">
            <w:pPr>
              <w:widowControl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电话号码</w:t>
            </w:r>
          </w:p>
        </w:tc>
      </w:tr>
      <w:tr w14:paraId="617FE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4" w:type="dxa"/>
          </w:tcPr>
          <w:p w14:paraId="7CA60AC6">
            <w:pPr>
              <w:widowControl/>
              <w:jc w:val="left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5072" w:type="dxa"/>
          </w:tcPr>
          <w:p w14:paraId="5294CDF3">
            <w:pPr>
              <w:widowControl/>
              <w:jc w:val="left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4238" w:type="dxa"/>
          </w:tcPr>
          <w:p w14:paraId="370EB114">
            <w:pPr>
              <w:widowControl/>
              <w:jc w:val="left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</w:tr>
    </w:tbl>
    <w:p w14:paraId="183C25B8">
      <w:pPr>
        <w:widowControl/>
        <w:jc w:val="left"/>
        <w:rPr>
          <w:rFonts w:ascii="仿宋" w:hAnsi="仿宋" w:eastAsia="仿宋"/>
          <w:sz w:val="24"/>
          <w:szCs w:val="24"/>
        </w:rPr>
      </w:pPr>
    </w:p>
    <w:p w14:paraId="5BDC1E2C">
      <w:pPr>
        <w:widowControl/>
        <w:jc w:val="lef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5495290</wp:posOffset>
            </wp:positionH>
            <wp:positionV relativeFrom="paragraph">
              <wp:posOffset>845185</wp:posOffset>
            </wp:positionV>
            <wp:extent cx="659765" cy="659765"/>
            <wp:effectExtent l="0" t="0" r="6985" b="6985"/>
            <wp:wrapSquare wrapText="bothSides"/>
            <wp:docPr id="1" name="图片 1" descr="qr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rcod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9765" cy="659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B95A18">
      <w:pPr>
        <w:widowControl/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注：1.请点击链接或扫描二维码填写信息表。</w:t>
      </w:r>
      <w:r>
        <w:rPr>
          <w:rFonts w:hint="eastAsia" w:ascii="Times New Roman" w:hAnsi="Times New Roman" w:eastAsia="仿宋" w:cs="Times New Roman"/>
          <w:sz w:val="24"/>
          <w:szCs w:val="24"/>
        </w:rPr>
        <w:t xml:space="preserve">https://v.wjx.cn/vm/ON8i6WM.aspx# </w:t>
      </w:r>
      <w:r>
        <w:rPr>
          <w:rFonts w:ascii="仿宋" w:hAnsi="仿宋" w:eastAsia="仿宋"/>
          <w:sz w:val="24"/>
          <w:szCs w:val="24"/>
        </w:rPr>
        <w:t xml:space="preserve"> </w:t>
      </w:r>
    </w:p>
    <w:p w14:paraId="41D168B7">
      <w:pPr>
        <w:widowControl/>
        <w:jc w:val="left"/>
        <w:rPr>
          <w:rFonts w:hint="eastAsia" w:ascii="仿宋" w:hAnsi="仿宋" w:eastAsia="仿宋"/>
          <w:sz w:val="24"/>
          <w:szCs w:val="24"/>
          <w:lang w:eastAsia="zh-CN"/>
        </w:rPr>
      </w:pPr>
    </w:p>
    <w:p w14:paraId="237951AD">
      <w:pPr>
        <w:widowControl/>
        <w:jc w:val="left"/>
        <w:rPr>
          <w:rFonts w:hint="eastAsia" w:ascii="仿宋" w:hAnsi="仿宋" w:eastAsia="仿宋"/>
          <w:sz w:val="24"/>
          <w:szCs w:val="24"/>
        </w:rPr>
      </w:pPr>
    </w:p>
    <w:p w14:paraId="0518BF60">
      <w:pPr>
        <w:widowControl/>
        <w:ind w:firstLine="480" w:firstLineChars="200"/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2.材料报送人员指学校指定的</w:t>
      </w:r>
      <w:r>
        <w:rPr>
          <w:rFonts w:hint="eastAsia" w:ascii="仿宋" w:hAnsi="仿宋" w:eastAsia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/>
          <w:sz w:val="24"/>
          <w:szCs w:val="24"/>
        </w:rPr>
        <w:t>一名统一上传学校所有报送材料（申报表+正文）的老师。报送人员电话号码将被注册为“浦东教育教学质量分析平台”</w:t>
      </w:r>
      <w:r>
        <w:rPr>
          <w:rFonts w:hint="default" w:ascii="Times New Roman" w:hAnsi="Times New Roman" w:eastAsia="仿宋" w:cs="Times New Roman"/>
          <w:sz w:val="24"/>
          <w:szCs w:val="24"/>
        </w:rPr>
        <w:t>（http://10.66.110.108）</w:t>
      </w:r>
      <w:r>
        <w:rPr>
          <w:rFonts w:hint="eastAsia" w:ascii="仿宋" w:hAnsi="仿宋" w:eastAsia="仿宋"/>
          <w:sz w:val="24"/>
          <w:szCs w:val="24"/>
        </w:rPr>
        <w:t>的登录帐号，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初始</w:t>
      </w:r>
      <w:r>
        <w:rPr>
          <w:rFonts w:hint="eastAsia" w:ascii="仿宋" w:hAnsi="仿宋" w:eastAsia="仿宋"/>
          <w:sz w:val="24"/>
          <w:szCs w:val="24"/>
        </w:rPr>
        <w:t>登录密码为</w:t>
      </w:r>
      <w:r>
        <w:rPr>
          <w:rFonts w:hint="eastAsia" w:ascii="仿宋" w:hAnsi="仿宋" w:eastAsia="仿宋"/>
          <w:sz w:val="24"/>
          <w:szCs w:val="24"/>
          <w:lang w:eastAsia="zh-CN"/>
        </w:rPr>
        <w:t>2025</w:t>
      </w:r>
      <w:r>
        <w:rPr>
          <w:rFonts w:ascii="仿宋" w:hAnsi="仿宋" w:eastAsia="仿宋"/>
          <w:sz w:val="24"/>
          <w:szCs w:val="24"/>
        </w:rPr>
        <w:t>PDJYPJAL</w:t>
      </w:r>
      <w:r>
        <w:rPr>
          <w:rFonts w:hint="eastAsia" w:ascii="仿宋" w:hAnsi="仿宋" w:eastAsia="仿宋"/>
          <w:sz w:val="24"/>
          <w:szCs w:val="24"/>
        </w:rPr>
        <w:t>，通过“评价案例”入口</w:t>
      </w:r>
      <w:bookmarkStart w:id="1" w:name="_GoBack"/>
      <w:bookmarkEnd w:id="1"/>
      <w:r>
        <w:rPr>
          <w:rFonts w:hint="eastAsia" w:ascii="仿宋" w:hAnsi="仿宋" w:eastAsia="仿宋"/>
          <w:sz w:val="24"/>
          <w:szCs w:val="24"/>
        </w:rPr>
        <w:t>打包上传学校案例材料。</w:t>
      </w:r>
    </w:p>
    <w:p w14:paraId="3D561E02">
      <w:pPr>
        <w:widowControl/>
        <w:jc w:val="left"/>
        <w:rPr>
          <w:rFonts w:ascii="黑体" w:hAnsi="黑体" w:eastAsia="黑体"/>
          <w:sz w:val="28"/>
          <w:szCs w:val="28"/>
        </w:rPr>
      </w:pPr>
    </w:p>
    <w:p w14:paraId="01FD6098">
      <w:pPr>
        <w:widowControl/>
        <w:jc w:val="left"/>
        <w:rPr>
          <w:rFonts w:ascii="黑体" w:hAnsi="黑体" w:eastAsia="黑体"/>
          <w:sz w:val="28"/>
          <w:szCs w:val="28"/>
        </w:rPr>
      </w:pPr>
    </w:p>
    <w:p w14:paraId="5795651C">
      <w:pPr>
        <w:widowControl/>
        <w:jc w:val="left"/>
        <w:rPr>
          <w:rFonts w:ascii="黑体" w:hAnsi="黑体" w:eastAsia="黑体"/>
          <w:sz w:val="28"/>
          <w:szCs w:val="28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1970C97A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附件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/>
          <w:sz w:val="24"/>
          <w:szCs w:val="24"/>
        </w:rPr>
        <w:t>：</w:t>
      </w:r>
    </w:p>
    <w:p w14:paraId="2AA124B0">
      <w:pPr>
        <w:keepNext/>
        <w:keepLines/>
        <w:widowControl w:val="0"/>
        <w:spacing w:before="480" w:after="80" w:line="278" w:lineRule="auto"/>
        <w:jc w:val="center"/>
        <w:outlineLvl w:val="0"/>
        <w:rPr>
          <w:rFonts w:hint="eastAsia" w:ascii="方正小标宋_GBK" w:hAnsi="华文中宋" w:eastAsia="方正小标宋_GBK" w:cs="仿宋"/>
          <w:b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_GBK" w:hAnsi="华文中宋" w:eastAsia="方正小标宋_GBK" w:cs="仿宋"/>
          <w:b/>
          <w:kern w:val="2"/>
          <w:sz w:val="32"/>
          <w:szCs w:val="32"/>
          <w:lang w:val="en-US" w:eastAsia="zh-CN" w:bidi="ar-SA"/>
        </w:rPr>
        <w:t>平台操作说明</w:t>
      </w:r>
    </w:p>
    <w:p w14:paraId="2DCA3402">
      <w:pPr>
        <w:spacing w:after="0" w:line="360" w:lineRule="auto"/>
        <w:rPr>
          <w:rFonts w:hint="eastAsia" w:ascii="宋体" w:hAnsi="宋体" w:eastAsia="宋体" w:cs="Times New Roman"/>
          <w:b/>
          <w:sz w:val="24"/>
          <w14:ligatures w14:val="none"/>
        </w:rPr>
      </w:pPr>
    </w:p>
    <w:p w14:paraId="4596D0A7">
      <w:pPr>
        <w:spacing w:after="0" w:line="360" w:lineRule="auto"/>
        <w:rPr>
          <w:rFonts w:hint="eastAsia" w:ascii="宋体" w:hAnsi="宋体" w:eastAsia="宋体" w:cs="Times New Roman"/>
          <w:b/>
          <w:sz w:val="24"/>
          <w14:ligatures w14:val="none"/>
        </w:rPr>
      </w:pPr>
      <w:r>
        <w:rPr>
          <w:rFonts w:hint="eastAsia" w:ascii="宋体" w:hAnsi="宋体" w:eastAsia="宋体" w:cs="Times New Roman"/>
          <w:b/>
          <w:sz w:val="24"/>
          <w14:ligatures w14:val="none"/>
        </w:rPr>
        <w:t>一、</w:t>
      </w:r>
      <w:r>
        <w:rPr>
          <w:rFonts w:ascii="宋体" w:hAnsi="宋体" w:eastAsia="宋体" w:cs="Times New Roman"/>
          <w:b/>
          <w:sz w:val="24"/>
          <w14:ligatures w14:val="none"/>
        </w:rPr>
        <w:t>网络环境</w:t>
      </w:r>
      <w:r>
        <w:rPr>
          <w:rFonts w:hint="eastAsia" w:ascii="宋体" w:hAnsi="宋体" w:eastAsia="宋体" w:cs="Times New Roman"/>
          <w:b/>
          <w:sz w:val="24"/>
          <w14:ligatures w14:val="none"/>
        </w:rPr>
        <w:t>要求</w:t>
      </w:r>
    </w:p>
    <w:p w14:paraId="621389FD">
      <w:pPr>
        <w:spacing w:after="0" w:line="360" w:lineRule="auto"/>
        <w:ind w:firstLine="480" w:firstLineChars="200"/>
        <w:rPr>
          <w:rFonts w:hint="eastAsia" w:ascii="宋体" w:hAnsi="宋体" w:eastAsia="宋体" w:cs="Times New Roman"/>
          <w:b/>
          <w:sz w:val="24"/>
          <w14:ligatures w14:val="none"/>
        </w:rPr>
      </w:pPr>
      <w:r>
        <w:rPr>
          <w:rFonts w:hint="eastAsia" w:ascii="宋体" w:hAnsi="宋体" w:eastAsia="宋体" w:cs="Times New Roman"/>
          <w:bCs/>
          <w:sz w:val="24"/>
          <w14:ligatures w14:val="none"/>
        </w:rPr>
        <w:t>浦东新区教育教学质量分析平台为浦东教育网内部系统，公办学校在</w:t>
      </w:r>
      <w:r>
        <w:rPr>
          <w:rFonts w:ascii="宋体" w:hAnsi="宋体" w:eastAsia="宋体" w:cs="Times New Roman"/>
          <w:bCs/>
          <w:sz w:val="24"/>
          <w14:ligatures w14:val="none"/>
        </w:rPr>
        <w:t>校内</w:t>
      </w:r>
      <w:r>
        <w:rPr>
          <w:rFonts w:hint="eastAsia" w:ascii="宋体" w:hAnsi="宋体" w:eastAsia="宋体" w:cs="Times New Roman"/>
          <w:bCs/>
          <w:sz w:val="24"/>
          <w14:ligatures w14:val="none"/>
        </w:rPr>
        <w:t>均能直接访问。</w:t>
      </w:r>
    </w:p>
    <w:p w14:paraId="3B232BBD">
      <w:pPr>
        <w:spacing w:after="0" w:line="360" w:lineRule="auto"/>
        <w:jc w:val="center"/>
        <w:rPr>
          <w:rFonts w:hint="eastAsia" w:ascii="宋体" w:hAnsi="宋体" w:eastAsia="宋体" w:cs="Times New Roman"/>
          <w:b/>
          <w:bCs/>
          <w:sz w:val="28"/>
          <w:szCs w:val="24"/>
          <w14:ligatures w14:val="none"/>
        </w:rPr>
      </w:pPr>
      <w:r>
        <w:rPr>
          <w:rFonts w:hint="eastAsia" w:ascii="宋体" w:hAnsi="宋体" w:eastAsia="宋体" w:cs="Times New Roman"/>
          <w:b/>
          <w:bCs/>
          <w:sz w:val="28"/>
          <w:szCs w:val="24"/>
          <w14:ligatures w14:val="none"/>
        </w:rPr>
        <w:t>第二部分  上传文件及上传方式</w:t>
      </w:r>
      <w:r>
        <w:rPr>
          <w:rFonts w:ascii="宋体" w:hAnsi="宋体" w:eastAsia="宋体" w:cs="Times New Roman"/>
          <w:b/>
          <w:bCs/>
          <w:sz w:val="28"/>
          <w:szCs w:val="24"/>
          <w14:ligatures w14:val="none"/>
        </w:rPr>
        <w:t>说明</w:t>
      </w:r>
    </w:p>
    <w:p w14:paraId="12E0DEA1">
      <w:pPr>
        <w:spacing w:after="0" w:line="360" w:lineRule="auto"/>
        <w:rPr>
          <w:rFonts w:hint="eastAsia" w:ascii="宋体" w:hAnsi="宋体" w:eastAsia="宋体" w:cs="Times New Roman"/>
          <w:b/>
          <w:sz w:val="24"/>
          <w14:ligatures w14:val="none"/>
        </w:rPr>
      </w:pPr>
      <w:r>
        <w:rPr>
          <w:rFonts w:hint="eastAsia" w:ascii="宋体" w:hAnsi="宋体" w:eastAsia="宋体" w:cs="Times New Roman"/>
          <w:b/>
          <w:sz w:val="24"/>
          <w14:ligatures w14:val="none"/>
        </w:rPr>
        <w:t>一</w:t>
      </w:r>
      <w:r>
        <w:rPr>
          <w:rFonts w:ascii="宋体" w:hAnsi="宋体" w:eastAsia="宋体" w:cs="Times New Roman"/>
          <w:b/>
          <w:sz w:val="24"/>
          <w14:ligatures w14:val="none"/>
        </w:rPr>
        <w:t>、</w:t>
      </w:r>
      <w:r>
        <w:rPr>
          <w:rFonts w:hint="eastAsia" w:ascii="宋体" w:hAnsi="宋体" w:eastAsia="宋体" w:cs="Times New Roman"/>
          <w:b/>
          <w:sz w:val="24"/>
          <w14:ligatures w14:val="none"/>
        </w:rPr>
        <w:t>上传文件</w:t>
      </w:r>
      <w:r>
        <w:rPr>
          <w:rFonts w:ascii="宋体" w:hAnsi="宋体" w:eastAsia="宋体" w:cs="Times New Roman"/>
          <w:b/>
          <w:sz w:val="24"/>
          <w14:ligatures w14:val="none"/>
        </w:rPr>
        <w:t>操作方</w:t>
      </w:r>
      <w:r>
        <w:rPr>
          <w:rFonts w:hint="eastAsia" w:ascii="宋体" w:hAnsi="宋体" w:eastAsia="宋体" w:cs="Times New Roman"/>
          <w:b/>
          <w:sz w:val="24"/>
          <w14:ligatures w14:val="none"/>
        </w:rPr>
        <w:t>法说明</w:t>
      </w:r>
    </w:p>
    <w:p w14:paraId="40828D6D">
      <w:pPr>
        <w:spacing w:after="0" w:line="360" w:lineRule="auto"/>
        <w:ind w:firstLine="482" w:firstLineChars="200"/>
        <w:rPr>
          <w:rFonts w:hint="eastAsia" w:ascii="宋体" w:hAnsi="宋体" w:eastAsia="宋体" w:cs="宋体"/>
          <w:sz w:val="24"/>
          <w:szCs w:val="28"/>
          <w14:ligatures w14:val="none"/>
        </w:rPr>
      </w:pPr>
      <w:r>
        <w:rPr>
          <w:rFonts w:hint="eastAsia" w:ascii="宋体" w:hAnsi="宋体" w:eastAsia="宋体" w:cs="Times New Roman"/>
          <w:b/>
          <w:bCs/>
          <w:sz w:val="24"/>
          <w14:ligatures w14:val="none"/>
        </w:rPr>
        <w:t>第一步：</w:t>
      </w:r>
      <w:r>
        <w:rPr>
          <w:rFonts w:hint="eastAsia" w:ascii="宋体" w:hAnsi="宋体" w:eastAsia="宋体" w:cs="Times New Roman"/>
          <w:bCs/>
          <w:sz w:val="24"/>
          <w14:ligatures w14:val="none"/>
        </w:rPr>
        <w:t>打开平台网址</w:t>
      </w:r>
      <w:r>
        <w:rPr>
          <w:rFonts w:ascii="等线" w:hAnsi="等线" w:eastAsia="等线" w:cs="Times New Roman"/>
          <w:sz w:val="24"/>
          <w:szCs w:val="28"/>
          <w14:ligatures w14:val="none"/>
        </w:rPr>
        <w:t>：</w:t>
      </w:r>
      <w:bookmarkStart w:id="0" w:name="OLE_LINK1"/>
      <w:r>
        <w:rPr>
          <w:rFonts w:ascii="等线" w:hAnsi="等线" w:eastAsia="等线" w:cs="Times New Roman"/>
          <w14:ligatures w14:val="none"/>
        </w:rPr>
        <w:fldChar w:fldCharType="begin"/>
      </w:r>
      <w:r>
        <w:rPr>
          <w:rFonts w:ascii="等线" w:hAnsi="等线" w:eastAsia="等线" w:cs="Times New Roman"/>
          <w14:ligatures w14:val="none"/>
        </w:rPr>
        <w:instrText xml:space="preserve"> HYPERLINK "http://10.66.110.108" </w:instrText>
      </w:r>
      <w:r>
        <w:rPr>
          <w:rFonts w:ascii="等线" w:hAnsi="等线" w:eastAsia="等线" w:cs="Times New Roman"/>
          <w14:ligatures w14:val="none"/>
        </w:rPr>
        <w:fldChar w:fldCharType="separate"/>
      </w:r>
      <w:r>
        <w:rPr>
          <w:rFonts w:hint="eastAsia" w:ascii="等线" w:hAnsi="等线" w:eastAsia="等线" w:cs="Times New Roman"/>
          <w:b/>
          <w:bCs/>
          <w:color w:val="0000FF"/>
          <w:sz w:val="28"/>
          <w:szCs w:val="32"/>
          <w:u w:val="single"/>
          <w14:ligatures w14:val="none"/>
        </w:rPr>
        <w:t>http://10.66.110.108</w:t>
      </w:r>
      <w:r>
        <w:rPr>
          <w:rFonts w:ascii="等线" w:hAnsi="等线" w:eastAsia="等线" w:cs="Times New Roman"/>
          <w:b/>
          <w:bCs/>
          <w:color w:val="0000FF"/>
          <w:sz w:val="28"/>
          <w:szCs w:val="32"/>
          <w:u w:val="single"/>
          <w14:ligatures w14:val="none"/>
        </w:rPr>
        <w:fldChar w:fldCharType="end"/>
      </w:r>
      <w:bookmarkEnd w:id="0"/>
      <w:r>
        <w:rPr>
          <w:rFonts w:hint="eastAsia" w:ascii="宋体" w:hAnsi="宋体" w:eastAsia="宋体" w:cs="宋体"/>
          <w:sz w:val="24"/>
          <w:szCs w:val="28"/>
          <w14:ligatures w14:val="none"/>
        </w:rPr>
        <w:t>（打开网址需保证浦东教育网网络环境）。点击“</w:t>
      </w:r>
      <w:r>
        <w:rPr>
          <w:rFonts w:hint="eastAsia" w:ascii="宋体" w:hAnsi="宋体" w:eastAsia="宋体" w:cs="宋体"/>
          <w:color w:val="FF0000"/>
          <w:sz w:val="24"/>
          <w:szCs w:val="28"/>
          <w14:ligatures w14:val="none"/>
        </w:rPr>
        <w:t>评价案例</w:t>
      </w:r>
      <w:r>
        <w:rPr>
          <w:rFonts w:hint="eastAsia" w:ascii="宋体" w:hAnsi="宋体" w:eastAsia="宋体" w:cs="宋体"/>
          <w:sz w:val="24"/>
          <w:szCs w:val="28"/>
          <w14:ligatures w14:val="none"/>
        </w:rPr>
        <w:t>”按钮进行登录。</w:t>
      </w:r>
    </w:p>
    <w:p w14:paraId="2744FAC2">
      <w:pPr>
        <w:spacing w:after="0" w:line="360" w:lineRule="auto"/>
        <w:rPr>
          <w:rFonts w:ascii="等线" w:hAnsi="等线" w:eastAsia="等线" w:cs="Times New Roman"/>
          <w:sz w:val="24"/>
          <w:szCs w:val="28"/>
          <w14:ligatures w14:val="none"/>
        </w:rPr>
      </w:pPr>
      <w:r>
        <w:rPr>
          <w:rFonts w:ascii="等线" w:hAnsi="等线" w:eastAsia="等线" w:cs="Times New Roman"/>
          <w14:ligatures w14:val="standardContextual"/>
        </w:rPr>
        <w:drawing>
          <wp:inline distT="0" distB="0" distL="0" distR="0">
            <wp:extent cx="5197475" cy="2271395"/>
            <wp:effectExtent l="0" t="0" r="3175" b="14605"/>
            <wp:docPr id="18831418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14180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1600" cy="2273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248AA">
      <w:pPr>
        <w:spacing w:after="0" w:line="360" w:lineRule="auto"/>
        <w:rPr>
          <w:rFonts w:hint="eastAsia" w:ascii="等线" w:hAnsi="等线" w:eastAsia="等线" w:cs="Times New Roman"/>
          <w:sz w:val="24"/>
          <w:szCs w:val="28"/>
          <w14:ligatures w14:val="none"/>
        </w:rPr>
      </w:pPr>
      <w:r>
        <w:rPr>
          <w:rFonts w:ascii="等线" w:hAnsi="等线" w:eastAsia="等线" w:cs="Times New Roman"/>
          <w14:ligatures w14:val="standardContextual"/>
        </w:rPr>
        <w:drawing>
          <wp:inline distT="0" distB="0" distL="0" distR="0">
            <wp:extent cx="5186045" cy="2540635"/>
            <wp:effectExtent l="0" t="0" r="14605" b="12065"/>
            <wp:docPr id="21144467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446728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89593" cy="2542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44010">
      <w:pPr>
        <w:spacing w:after="0" w:line="360" w:lineRule="auto"/>
        <w:jc w:val="center"/>
        <w:rPr>
          <w:rFonts w:hint="eastAsia" w:ascii="宋体" w:hAnsi="宋体" w:eastAsia="宋体" w:cs="宋体"/>
          <w:bCs/>
          <w:sz w:val="22"/>
          <w:szCs w:val="28"/>
          <w14:ligatures w14:val="none"/>
        </w:rPr>
      </w:pPr>
      <w:r>
        <w:rPr>
          <w:rFonts w:hint="eastAsia" w:ascii="宋体" w:hAnsi="宋体" w:eastAsia="宋体" w:cs="宋体"/>
          <w:bCs/>
          <w:sz w:val="22"/>
          <w:szCs w:val="28"/>
          <w14:ligatures w14:val="none"/>
        </w:rPr>
        <w:t>（登陆界面）</w:t>
      </w:r>
    </w:p>
    <w:p w14:paraId="405CA3AC">
      <w:pPr>
        <w:spacing w:after="0" w:line="360" w:lineRule="auto"/>
        <w:ind w:firstLine="482" w:firstLineChars="200"/>
        <w:rPr>
          <w:rFonts w:hint="eastAsia" w:ascii="宋体" w:hAnsi="宋体" w:eastAsia="宋体" w:cs="宋体"/>
          <w:sz w:val="24"/>
          <w14:ligatures w14:val="none"/>
        </w:rPr>
      </w:pPr>
      <w:r>
        <w:rPr>
          <w:rFonts w:hint="eastAsia" w:ascii="宋体" w:hAnsi="宋体" w:eastAsia="宋体" w:cs="宋体"/>
          <w:b/>
          <w:bCs/>
          <w:sz w:val="24"/>
          <w14:ligatures w14:val="none"/>
        </w:rPr>
        <w:t>第二步：</w:t>
      </w:r>
      <w:r>
        <w:rPr>
          <w:rFonts w:hint="eastAsia" w:ascii="宋体" w:hAnsi="宋体" w:eastAsia="宋体" w:cs="宋体"/>
          <w:bCs/>
          <w:sz w:val="24"/>
          <w14:ligatures w14:val="none"/>
        </w:rPr>
        <w:t>选择“</w:t>
      </w:r>
      <w:r>
        <w:rPr>
          <w:rFonts w:hint="eastAsia" w:ascii="宋体" w:hAnsi="宋体" w:eastAsia="宋体" w:cs="宋体"/>
          <w:bCs/>
          <w:color w:val="FF0000"/>
          <w:sz w:val="24"/>
          <w14:ligatures w14:val="none"/>
        </w:rPr>
        <w:t>①文件上传</w:t>
      </w:r>
      <w:r>
        <w:rPr>
          <w:rFonts w:hint="eastAsia" w:ascii="宋体" w:hAnsi="宋体" w:eastAsia="宋体" w:cs="宋体"/>
          <w:bCs/>
          <w:sz w:val="24"/>
          <w14:ligatures w14:val="none"/>
        </w:rPr>
        <w:t>”；</w:t>
      </w:r>
    </w:p>
    <w:p w14:paraId="0AD7F026">
      <w:pPr>
        <w:spacing w:after="0" w:line="360" w:lineRule="auto"/>
        <w:ind w:firstLine="482" w:firstLineChars="200"/>
        <w:rPr>
          <w:rFonts w:hint="eastAsia" w:ascii="宋体" w:hAnsi="宋体" w:eastAsia="宋体" w:cs="Times New Roman"/>
          <w:bCs/>
          <w:sz w:val="24"/>
          <w14:ligatures w14:val="none"/>
        </w:rPr>
      </w:pPr>
      <w:r>
        <w:rPr>
          <w:rFonts w:hint="eastAsia" w:ascii="宋体" w:hAnsi="宋体" w:eastAsia="宋体" w:cs="Times New Roman"/>
          <w:b/>
          <w:bCs/>
          <w:sz w:val="24"/>
          <w14:ligatures w14:val="none"/>
        </w:rPr>
        <w:t>第三步：</w:t>
      </w:r>
      <w:r>
        <w:rPr>
          <w:rFonts w:hint="eastAsia" w:ascii="宋体" w:hAnsi="宋体" w:eastAsia="宋体" w:cs="Times New Roman"/>
          <w:bCs/>
          <w:sz w:val="24"/>
          <w14:ligatures w14:val="none"/>
        </w:rPr>
        <w:t>选择要</w:t>
      </w:r>
      <w:r>
        <w:rPr>
          <w:rFonts w:ascii="宋体" w:hAnsi="宋体" w:eastAsia="宋体" w:cs="Times New Roman"/>
          <w:bCs/>
          <w:sz w:val="24"/>
          <w14:ligatures w14:val="none"/>
        </w:rPr>
        <w:t>上传</w:t>
      </w:r>
      <w:r>
        <w:rPr>
          <w:rFonts w:hint="eastAsia" w:ascii="宋体" w:hAnsi="宋体" w:eastAsia="宋体" w:cs="Times New Roman"/>
          <w:bCs/>
          <w:sz w:val="24"/>
          <w14:ligatures w14:val="none"/>
        </w:rPr>
        <w:t>的任务，</w:t>
      </w:r>
      <w:r>
        <w:rPr>
          <w:rFonts w:ascii="宋体" w:hAnsi="宋体" w:eastAsia="宋体" w:cs="Times New Roman"/>
          <w:bCs/>
          <w:sz w:val="24"/>
          <w14:ligatures w14:val="none"/>
        </w:rPr>
        <w:t>如</w:t>
      </w:r>
      <w:r>
        <w:rPr>
          <w:rFonts w:hint="eastAsia" w:ascii="宋体" w:hAnsi="宋体" w:eastAsia="宋体" w:cs="Times New Roman"/>
          <w:bCs/>
          <w:sz w:val="24"/>
          <w14:ligatures w14:val="none"/>
        </w:rPr>
        <w:t>“</w:t>
      </w:r>
      <w:r>
        <w:rPr>
          <w:rFonts w:hint="eastAsia" w:ascii="宋体" w:hAnsi="宋体" w:eastAsia="宋体" w:cs="Times New Roman"/>
          <w:bCs/>
          <w:color w:val="FF0000"/>
          <w:sz w:val="24"/>
          <w14:ligatures w14:val="none"/>
        </w:rPr>
        <w:t>②选择当前任务：选择相应的任务上传</w:t>
      </w:r>
      <w:r>
        <w:rPr>
          <w:rFonts w:hint="eastAsia" w:ascii="宋体" w:hAnsi="宋体" w:eastAsia="宋体" w:cs="Times New Roman"/>
          <w:bCs/>
          <w:sz w:val="24"/>
          <w14:ligatures w14:val="none"/>
        </w:rPr>
        <w:t>”；</w:t>
      </w:r>
    </w:p>
    <w:p w14:paraId="0884E703">
      <w:pPr>
        <w:spacing w:after="0" w:line="360" w:lineRule="auto"/>
        <w:rPr>
          <w:rFonts w:hint="eastAsia" w:ascii="宋体" w:hAnsi="宋体" w:eastAsia="宋体" w:cs="Times New Roman"/>
          <w:bCs/>
          <w:sz w:val="24"/>
          <w14:ligatures w14:val="none"/>
        </w:rPr>
      </w:pPr>
      <w:r>
        <w:rPr>
          <w:rFonts w:ascii="等线" w:hAnsi="等线" w:eastAsia="等线" w:cs="Times New Roman"/>
          <w14:ligatures w14:val="standardContextual"/>
        </w:rPr>
        <w:drawing>
          <wp:inline distT="0" distB="0" distL="0" distR="0">
            <wp:extent cx="5274310" cy="1355725"/>
            <wp:effectExtent l="0" t="0" r="2540" b="15875"/>
            <wp:docPr id="6019250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925035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5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662A0">
      <w:pPr>
        <w:spacing w:after="0" w:line="360" w:lineRule="auto"/>
        <w:ind w:firstLine="420"/>
        <w:rPr>
          <w:rFonts w:hint="eastAsia" w:ascii="宋体" w:hAnsi="宋体" w:eastAsia="宋体" w:cs="Times New Roman"/>
          <w:bCs/>
          <w:sz w:val="24"/>
          <w14:ligatures w14:val="none"/>
        </w:rPr>
      </w:pPr>
      <w:r>
        <w:rPr>
          <w:rFonts w:hint="eastAsia" w:ascii="宋体" w:hAnsi="宋体" w:eastAsia="宋体" w:cs="Times New Roman"/>
          <w:b/>
          <w:sz w:val="24"/>
          <w14:ligatures w14:val="none"/>
        </w:rPr>
        <w:t>第四步：</w:t>
      </w:r>
      <w:r>
        <w:rPr>
          <w:rFonts w:hint="eastAsia" w:ascii="宋体" w:hAnsi="宋体" w:eastAsia="宋体" w:cs="Times New Roman"/>
          <w:bCs/>
          <w:sz w:val="24"/>
          <w14:ligatures w14:val="none"/>
        </w:rPr>
        <w:t>点击“</w:t>
      </w:r>
      <w:r>
        <w:rPr>
          <w:rFonts w:hint="eastAsia" w:ascii="宋体" w:hAnsi="宋体" w:eastAsia="宋体" w:cs="Times New Roman"/>
          <w:bCs/>
          <w:color w:val="FF0000"/>
          <w:sz w:val="24"/>
          <w14:ligatures w14:val="none"/>
        </w:rPr>
        <w:t>③上传文件</w:t>
      </w:r>
      <w:r>
        <w:rPr>
          <w:rFonts w:hint="eastAsia" w:ascii="宋体" w:hAnsi="宋体" w:eastAsia="宋体" w:cs="Times New Roman"/>
          <w:bCs/>
          <w:sz w:val="24"/>
          <w14:ligatures w14:val="none"/>
        </w:rPr>
        <w:t>”，完成上传任务。</w:t>
      </w:r>
    </w:p>
    <w:p w14:paraId="1533E32B">
      <w:pPr>
        <w:spacing w:after="0" w:line="360" w:lineRule="auto"/>
        <w:jc w:val="center"/>
        <w:rPr>
          <w:rFonts w:ascii="等线" w:hAnsi="等线" w:eastAsia="等线" w:cs="Times New Roman"/>
          <w:sz w:val="24"/>
          <w:szCs w:val="28"/>
          <w14:ligatures w14:val="none"/>
        </w:rPr>
      </w:pPr>
      <w:r>
        <w:rPr>
          <w:rFonts w:ascii="等线" w:hAnsi="等线" w:eastAsia="等线" w:cs="Times New Roman"/>
          <w14:ligatures w14:val="standardContextual"/>
        </w:rPr>
        <w:drawing>
          <wp:inline distT="0" distB="0" distL="0" distR="0">
            <wp:extent cx="5274310" cy="1378585"/>
            <wp:effectExtent l="0" t="0" r="2540" b="12065"/>
            <wp:docPr id="12077133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71335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7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159B0">
      <w:pPr>
        <w:spacing w:after="0" w:line="240" w:lineRule="auto"/>
        <w:rPr>
          <w:rFonts w:hint="eastAsia" w:ascii="等线" w:hAnsi="等线" w:eastAsia="等线" w:cs="Times New Roman"/>
          <w14:ligatures w14:val="none"/>
        </w:rPr>
      </w:pPr>
    </w:p>
    <w:p w14:paraId="2CE777D7">
      <w:pPr>
        <w:jc w:val="left"/>
        <w:rPr>
          <w:rFonts w:hint="eastAsia" w:asciiTheme="minorEastAsia" w:hAnsiTheme="minorEastAsia"/>
          <w:sz w:val="24"/>
          <w:szCs w:val="24"/>
        </w:rPr>
      </w:pPr>
    </w:p>
    <w:p w14:paraId="065C5ABD">
      <w:pPr>
        <w:spacing w:after="0" w:line="360" w:lineRule="auto"/>
        <w:ind w:firstLine="480" w:firstLineChars="200"/>
        <w:rPr>
          <w:rFonts w:hint="eastAsia" w:ascii="宋体" w:hAnsi="宋体" w:eastAsia="宋体" w:cs="宋体"/>
          <w:bCs/>
          <w:sz w:val="24"/>
          <w:szCs w:val="24"/>
          <w:lang w:eastAsia="zh-CN"/>
          <w14:ligatures w14:val="none"/>
        </w:rPr>
      </w:pPr>
      <w:r>
        <w:rPr>
          <w:rFonts w:hint="eastAsia" w:ascii="宋体" w:hAnsi="宋体" w:eastAsia="宋体" w:cs="宋体"/>
          <w:bCs/>
          <w:sz w:val="24"/>
          <w:szCs w:val="24"/>
          <w14:ligatures w14:val="none"/>
        </w:rPr>
        <w:t>平台技术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  <w14:ligatures w14:val="none"/>
        </w:rPr>
        <w:t>支持：</w:t>
      </w:r>
      <w:r>
        <w:rPr>
          <w:rFonts w:hint="eastAsia" w:ascii="宋体" w:hAnsi="宋体" w:eastAsia="宋体" w:cs="宋体"/>
          <w:bCs/>
          <w:sz w:val="24"/>
          <w:szCs w:val="24"/>
          <w14:ligatures w14:val="none"/>
        </w:rPr>
        <w:t>杨</w:t>
      </w:r>
      <w:r>
        <w:rPr>
          <w:rFonts w:hint="eastAsia" w:ascii="宋体" w:hAnsi="宋体" w:eastAsia="宋体" w:cs="宋体"/>
          <w:sz w:val="24"/>
          <w:szCs w:val="28"/>
          <w14:ligatures w14:val="none"/>
        </w:rPr>
        <w:t>老师</w:t>
      </w:r>
      <w:r>
        <w:rPr>
          <w:rFonts w:hint="eastAsia" w:ascii="宋体" w:hAnsi="宋体" w:eastAsia="宋体" w:cs="宋体"/>
          <w:sz w:val="24"/>
          <w:szCs w:val="28"/>
          <w:lang w:eastAsia="zh-CN"/>
          <w14:ligatures w14:val="none"/>
        </w:rPr>
        <w:t>，</w:t>
      </w:r>
      <w:r>
        <w:rPr>
          <w:rFonts w:hint="eastAsia" w:ascii="宋体" w:hAnsi="宋体" w:eastAsia="宋体" w:cs="宋体"/>
          <w:sz w:val="24"/>
          <w:szCs w:val="28"/>
          <w14:ligatures w14:val="none"/>
        </w:rPr>
        <w:t>13816942807</w:t>
      </w:r>
      <w:r>
        <w:rPr>
          <w:rFonts w:hint="eastAsia" w:ascii="宋体" w:hAnsi="宋体" w:eastAsia="宋体" w:cs="宋体"/>
          <w:sz w:val="24"/>
          <w:szCs w:val="28"/>
          <w:lang w:eastAsia="zh-CN"/>
          <w14:ligatures w14:val="none"/>
        </w:rPr>
        <w:t>。</w:t>
      </w:r>
    </w:p>
    <w:p w14:paraId="31C3F2D1">
      <w:pPr>
        <w:jc w:val="left"/>
        <w:rPr>
          <w:rFonts w:hint="eastAsia" w:ascii="宋体" w:hAnsi="宋体" w:eastAsia="宋体" w:cs="宋体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C0C5A32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附件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/>
          <w:sz w:val="24"/>
          <w:szCs w:val="24"/>
        </w:rPr>
        <w:t>：</w:t>
      </w:r>
    </w:p>
    <w:p w14:paraId="00ED305F">
      <w:pPr>
        <w:spacing w:after="312" w:afterLines="100"/>
        <w:jc w:val="center"/>
        <w:rPr>
          <w:rFonts w:ascii="方正小标宋_GBK" w:hAnsi="华文中宋" w:eastAsia="方正小标宋_GBK" w:cs="仿宋"/>
          <w:b/>
          <w:sz w:val="32"/>
          <w:szCs w:val="32"/>
        </w:rPr>
      </w:pPr>
      <w:r>
        <w:rPr>
          <w:rFonts w:hint="eastAsia" w:ascii="方正小标宋_GBK" w:hAnsi="华文中宋" w:eastAsia="方正小标宋_GBK" w:cs="仿宋"/>
          <w:b/>
          <w:sz w:val="32"/>
          <w:szCs w:val="32"/>
        </w:rPr>
        <w:t>浦东新区教育评价改革</w:t>
      </w:r>
      <w:r>
        <w:rPr>
          <w:rFonts w:hint="eastAsia" w:ascii="方正小标宋_GBK" w:hAnsi="华文中宋" w:eastAsia="方正小标宋_GBK" w:cs="仿宋"/>
          <w:b/>
          <w:sz w:val="32"/>
          <w:szCs w:val="32"/>
          <w:lang w:val="en-US" w:eastAsia="zh-CN"/>
        </w:rPr>
        <w:t>优秀</w:t>
      </w:r>
      <w:r>
        <w:rPr>
          <w:rFonts w:hint="eastAsia" w:ascii="方正小标宋_GBK" w:hAnsi="华文中宋" w:eastAsia="方正小标宋_GBK" w:cs="仿宋"/>
          <w:b/>
          <w:sz w:val="32"/>
          <w:szCs w:val="32"/>
        </w:rPr>
        <w:t>案例申报表</w:t>
      </w:r>
    </w:p>
    <w:tbl>
      <w:tblPr>
        <w:tblStyle w:val="11"/>
        <w:tblW w:w="88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1415"/>
        <w:gridCol w:w="2738"/>
        <w:gridCol w:w="520"/>
        <w:gridCol w:w="855"/>
        <w:gridCol w:w="2412"/>
      </w:tblGrid>
      <w:tr w14:paraId="6AF73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958" w:type="dxa"/>
            <w:vMerge w:val="restart"/>
            <w:vAlign w:val="center"/>
          </w:tcPr>
          <w:p w14:paraId="5643F546">
            <w:pPr>
              <w:spacing w:line="32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案例</w:t>
            </w:r>
          </w:p>
          <w:p w14:paraId="0825690E">
            <w:pPr>
              <w:spacing w:line="32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信息</w:t>
            </w:r>
          </w:p>
        </w:tc>
        <w:tc>
          <w:tcPr>
            <w:tcW w:w="1416" w:type="dxa"/>
            <w:vAlign w:val="center"/>
          </w:tcPr>
          <w:p w14:paraId="1E3C03C6">
            <w:pPr>
              <w:spacing w:line="400" w:lineRule="exact"/>
              <w:jc w:val="center"/>
              <w:rPr>
                <w:rFonts w:ascii="仿宋" w:hAnsi="仿宋" w:eastAsia="仿宋" w:cs="CESI仿宋-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ESI仿宋-GB2312"/>
                <w:kern w:val="0"/>
                <w:sz w:val="24"/>
                <w:szCs w:val="24"/>
              </w:rPr>
              <w:t>案例类型</w:t>
            </w:r>
          </w:p>
          <w:p w14:paraId="7F69738E">
            <w:pPr>
              <w:spacing w:line="400" w:lineRule="exact"/>
              <w:jc w:val="center"/>
              <w:rPr>
                <w:rFonts w:ascii="仿宋" w:hAnsi="仿宋" w:eastAsia="仿宋" w:cs="CESI仿宋-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ESI仿宋-GB2312"/>
                <w:kern w:val="0"/>
                <w:sz w:val="24"/>
                <w:szCs w:val="24"/>
              </w:rPr>
              <w:t>（请勾选，可多选）</w:t>
            </w:r>
          </w:p>
        </w:tc>
        <w:tc>
          <w:tcPr>
            <w:tcW w:w="3259" w:type="dxa"/>
            <w:gridSpan w:val="2"/>
            <w:vAlign w:val="center"/>
          </w:tcPr>
          <w:p w14:paraId="0B830A5F">
            <w:pPr>
              <w:spacing w:line="400" w:lineRule="exact"/>
              <w:jc w:val="left"/>
              <w:rPr>
                <w:rFonts w:ascii="仿宋" w:hAnsi="仿宋" w:eastAsia="仿宋" w:cs="CESI仿宋-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ESI仿宋-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CESI仿宋-GB2312"/>
                <w:kern w:val="0"/>
                <w:sz w:val="24"/>
                <w:szCs w:val="24"/>
              </w:rPr>
              <w:t>学校评价</w:t>
            </w:r>
          </w:p>
          <w:p w14:paraId="3D3194AF">
            <w:pPr>
              <w:spacing w:line="400" w:lineRule="exact"/>
              <w:jc w:val="left"/>
              <w:rPr>
                <w:rFonts w:ascii="仿宋" w:hAnsi="仿宋" w:eastAsia="仿宋" w:cs="CESI仿宋-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ESI仿宋-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CESI仿宋-GB2312"/>
                <w:kern w:val="0"/>
                <w:sz w:val="24"/>
                <w:szCs w:val="24"/>
              </w:rPr>
              <w:t>教师评价</w:t>
            </w:r>
          </w:p>
          <w:p w14:paraId="3221E3ED">
            <w:pPr>
              <w:spacing w:line="400" w:lineRule="exact"/>
              <w:jc w:val="left"/>
              <w:rPr>
                <w:rFonts w:hint="eastAsia" w:ascii="仿宋" w:hAnsi="仿宋" w:eastAsia="仿宋" w:cs="CESI仿宋-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ESI仿宋-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CESI仿宋-GB2312"/>
                <w:kern w:val="0"/>
                <w:sz w:val="24"/>
                <w:szCs w:val="24"/>
              </w:rPr>
              <w:t>学生评价</w:t>
            </w:r>
          </w:p>
          <w:p w14:paraId="376E273F">
            <w:pPr>
              <w:spacing w:line="400" w:lineRule="exact"/>
              <w:jc w:val="left"/>
              <w:rPr>
                <w:rFonts w:hint="default" w:ascii="仿宋" w:hAnsi="仿宋" w:eastAsia="仿宋" w:cs="CESI仿宋-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CESI仿宋-GB2312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CESI仿宋-GB2312"/>
                <w:kern w:val="0"/>
                <w:sz w:val="24"/>
                <w:szCs w:val="24"/>
                <w:lang w:val="en-US" w:eastAsia="zh-CN"/>
              </w:rPr>
              <w:t>技术赋能评价</w:t>
            </w:r>
          </w:p>
          <w:p w14:paraId="5931D995">
            <w:pPr>
              <w:spacing w:line="400" w:lineRule="exact"/>
              <w:jc w:val="left"/>
              <w:rPr>
                <w:rFonts w:ascii="仿宋" w:hAnsi="仿宋" w:eastAsia="仿宋" w:cs="CESI仿宋-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□其它</w:t>
            </w:r>
          </w:p>
        </w:tc>
        <w:tc>
          <w:tcPr>
            <w:tcW w:w="3264" w:type="dxa"/>
            <w:gridSpan w:val="2"/>
            <w:vAlign w:val="center"/>
          </w:tcPr>
          <w:p w14:paraId="687504D7">
            <w:pPr>
              <w:spacing w:line="400" w:lineRule="exact"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□幼儿园</w:t>
            </w:r>
          </w:p>
          <w:p w14:paraId="6C479288">
            <w:pPr>
              <w:spacing w:line="400" w:lineRule="exact"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□小学</w:t>
            </w:r>
          </w:p>
          <w:p w14:paraId="10CD50DD">
            <w:pPr>
              <w:spacing w:line="400" w:lineRule="exact"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□初中</w:t>
            </w:r>
          </w:p>
          <w:p w14:paraId="2FA3DFAA">
            <w:pPr>
              <w:spacing w:line="400" w:lineRule="exact"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□高中</w:t>
            </w:r>
          </w:p>
          <w:p w14:paraId="3CC84B22">
            <w:pPr>
              <w:spacing w:line="400" w:lineRule="exact"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其它</w:t>
            </w:r>
          </w:p>
        </w:tc>
      </w:tr>
      <w:tr w14:paraId="3D53A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958" w:type="dxa"/>
            <w:vMerge w:val="continue"/>
            <w:vAlign w:val="center"/>
          </w:tcPr>
          <w:p w14:paraId="65B42CD0">
            <w:pPr>
              <w:spacing w:line="32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4C280E10">
            <w:pPr>
              <w:spacing w:line="400" w:lineRule="exact"/>
              <w:jc w:val="center"/>
              <w:rPr>
                <w:rFonts w:ascii="仿宋" w:hAnsi="仿宋" w:eastAsia="仿宋" w:cs="CESI仿宋-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ESI仿宋-GB2312"/>
                <w:kern w:val="0"/>
                <w:sz w:val="24"/>
                <w:szCs w:val="24"/>
              </w:rPr>
              <w:t>案例名称</w:t>
            </w:r>
          </w:p>
        </w:tc>
        <w:tc>
          <w:tcPr>
            <w:tcW w:w="6523" w:type="dxa"/>
            <w:gridSpan w:val="4"/>
            <w:vAlign w:val="center"/>
          </w:tcPr>
          <w:p w14:paraId="37B0683C"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059B9945"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1C5B2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958" w:type="dxa"/>
            <w:vMerge w:val="continue"/>
            <w:vAlign w:val="center"/>
          </w:tcPr>
          <w:p w14:paraId="35E5349B">
            <w:pPr>
              <w:spacing w:line="32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5276E471">
            <w:pPr>
              <w:spacing w:line="400" w:lineRule="exact"/>
              <w:jc w:val="center"/>
              <w:rPr>
                <w:rFonts w:ascii="仿宋" w:hAnsi="仿宋" w:eastAsia="仿宋" w:cs="CESI仿宋-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ESI仿宋-GB2312"/>
                <w:kern w:val="0"/>
                <w:sz w:val="24"/>
                <w:szCs w:val="24"/>
              </w:rPr>
              <w:t>案例摘要</w:t>
            </w:r>
          </w:p>
          <w:p w14:paraId="351FF108">
            <w:pPr>
              <w:spacing w:line="400" w:lineRule="exact"/>
              <w:jc w:val="center"/>
              <w:rPr>
                <w:rFonts w:ascii="仿宋" w:hAnsi="仿宋" w:eastAsia="仿宋" w:cs="CESI仿宋-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ESI仿宋-GB2312"/>
                <w:kern w:val="0"/>
                <w:sz w:val="18"/>
                <w:szCs w:val="18"/>
              </w:rPr>
              <w:t>（150字以内）</w:t>
            </w:r>
          </w:p>
        </w:tc>
        <w:tc>
          <w:tcPr>
            <w:tcW w:w="6523" w:type="dxa"/>
            <w:gridSpan w:val="4"/>
            <w:vAlign w:val="center"/>
          </w:tcPr>
          <w:p w14:paraId="642F01D9"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2D795BCD"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1F4D5710"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4318EE3C"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4463978D"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64362B65"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7FC157B0"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459166DC"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607B59BA">
            <w:pPr>
              <w:spacing w:line="400" w:lineRule="exac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 xml:space="preserve">                          </w:t>
            </w:r>
          </w:p>
          <w:p w14:paraId="256E87C4"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116AC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8" w:type="dxa"/>
            <w:vMerge w:val="restart"/>
            <w:vAlign w:val="center"/>
          </w:tcPr>
          <w:p w14:paraId="01CEFECD">
            <w:pPr>
              <w:spacing w:line="32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作者</w:t>
            </w:r>
          </w:p>
          <w:p w14:paraId="7D11C1FB">
            <w:pPr>
              <w:spacing w:line="32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kern w:val="0"/>
                <w:sz w:val="24"/>
                <w:szCs w:val="24"/>
              </w:rPr>
              <w:t>信息</w:t>
            </w:r>
          </w:p>
        </w:tc>
        <w:tc>
          <w:tcPr>
            <w:tcW w:w="1416" w:type="dxa"/>
            <w:vAlign w:val="center"/>
          </w:tcPr>
          <w:p w14:paraId="2D4BAD47">
            <w:pPr>
              <w:spacing w:line="400" w:lineRule="exact"/>
              <w:jc w:val="center"/>
              <w:rPr>
                <w:rFonts w:ascii="仿宋" w:hAnsi="仿宋" w:eastAsia="仿宋" w:cs="CESI仿宋-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ESI仿宋-GB2312"/>
                <w:kern w:val="0"/>
                <w:sz w:val="24"/>
                <w:szCs w:val="24"/>
              </w:rPr>
              <w:t>作者单位</w:t>
            </w:r>
          </w:p>
        </w:tc>
        <w:tc>
          <w:tcPr>
            <w:tcW w:w="6523" w:type="dxa"/>
            <w:gridSpan w:val="4"/>
            <w:vAlign w:val="center"/>
          </w:tcPr>
          <w:p w14:paraId="4B434759">
            <w:pPr>
              <w:spacing w:line="400" w:lineRule="exact"/>
              <w:jc w:val="center"/>
              <w:rPr>
                <w:rFonts w:ascii="仿宋" w:hAnsi="仿宋" w:eastAsia="仿宋" w:cs="CESI仿宋-GB2312"/>
                <w:kern w:val="0"/>
                <w:sz w:val="24"/>
                <w:szCs w:val="24"/>
              </w:rPr>
            </w:pPr>
          </w:p>
          <w:p w14:paraId="6F14F0E7">
            <w:pPr>
              <w:spacing w:line="400" w:lineRule="exact"/>
              <w:jc w:val="center"/>
              <w:rPr>
                <w:rFonts w:ascii="仿宋" w:hAnsi="仿宋" w:eastAsia="仿宋" w:cs="CESI仿宋-GB2312"/>
                <w:kern w:val="0"/>
                <w:sz w:val="24"/>
                <w:szCs w:val="24"/>
              </w:rPr>
            </w:pPr>
          </w:p>
        </w:tc>
      </w:tr>
      <w:tr w14:paraId="15D3A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8" w:type="dxa"/>
            <w:vMerge w:val="continue"/>
            <w:vAlign w:val="center"/>
          </w:tcPr>
          <w:p w14:paraId="48E29379">
            <w:pPr>
              <w:spacing w:line="32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3740778D">
            <w:pPr>
              <w:spacing w:line="400" w:lineRule="exact"/>
              <w:jc w:val="center"/>
              <w:rPr>
                <w:rFonts w:ascii="仿宋" w:hAnsi="仿宋" w:eastAsia="仿宋" w:cs="CESI仿宋-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ESI仿宋-GB2312"/>
                <w:kern w:val="0"/>
                <w:sz w:val="24"/>
                <w:szCs w:val="24"/>
              </w:rPr>
              <w:t>作者姓名</w:t>
            </w:r>
          </w:p>
        </w:tc>
        <w:tc>
          <w:tcPr>
            <w:tcW w:w="2739" w:type="dxa"/>
            <w:vAlign w:val="center"/>
          </w:tcPr>
          <w:p w14:paraId="3F3739F5">
            <w:pPr>
              <w:spacing w:line="400" w:lineRule="exact"/>
              <w:jc w:val="center"/>
              <w:rPr>
                <w:rFonts w:ascii="仿宋" w:hAnsi="仿宋" w:eastAsia="仿宋" w:cs="CESI仿宋-GB2312"/>
                <w:kern w:val="0"/>
                <w:sz w:val="24"/>
                <w:szCs w:val="24"/>
              </w:rPr>
            </w:pPr>
          </w:p>
          <w:p w14:paraId="44B74EC2">
            <w:pPr>
              <w:spacing w:line="400" w:lineRule="exact"/>
              <w:jc w:val="center"/>
              <w:rPr>
                <w:rFonts w:ascii="仿宋" w:hAnsi="仿宋" w:eastAsia="仿宋" w:cs="CESI仿宋-GB2312"/>
                <w:kern w:val="0"/>
                <w:sz w:val="24"/>
                <w:szCs w:val="24"/>
              </w:rPr>
            </w:pPr>
          </w:p>
        </w:tc>
        <w:tc>
          <w:tcPr>
            <w:tcW w:w="1375" w:type="dxa"/>
            <w:gridSpan w:val="2"/>
            <w:vAlign w:val="center"/>
          </w:tcPr>
          <w:p w14:paraId="475551C0">
            <w:pPr>
              <w:spacing w:line="400" w:lineRule="exact"/>
              <w:jc w:val="center"/>
              <w:rPr>
                <w:rFonts w:ascii="仿宋" w:hAnsi="仿宋" w:eastAsia="仿宋" w:cs="CESI仿宋-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ESI仿宋-GB2312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409" w:type="dxa"/>
            <w:vAlign w:val="center"/>
          </w:tcPr>
          <w:p w14:paraId="2F2E1475"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15A78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8" w:type="dxa"/>
            <w:vMerge w:val="continue"/>
            <w:vAlign w:val="center"/>
          </w:tcPr>
          <w:p w14:paraId="72D258F3">
            <w:pPr>
              <w:spacing w:line="32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0AAB57D8">
            <w:pPr>
              <w:spacing w:line="400" w:lineRule="exact"/>
              <w:jc w:val="center"/>
              <w:rPr>
                <w:rFonts w:ascii="仿宋" w:hAnsi="仿宋" w:eastAsia="仿宋" w:cs="CESI仿宋-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ESI仿宋-GB2312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6523" w:type="dxa"/>
            <w:gridSpan w:val="4"/>
            <w:vAlign w:val="center"/>
          </w:tcPr>
          <w:p w14:paraId="5879F61C">
            <w:pPr>
              <w:spacing w:line="400" w:lineRule="exac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22DD0F7A">
            <w:pPr>
              <w:spacing w:line="400" w:lineRule="exac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19BF3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8" w:type="dxa"/>
            <w:vMerge w:val="restart"/>
            <w:vAlign w:val="center"/>
          </w:tcPr>
          <w:p w14:paraId="12760500">
            <w:pPr>
              <w:spacing w:line="32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报送</w:t>
            </w:r>
          </w:p>
          <w:p w14:paraId="54AA9123">
            <w:pPr>
              <w:spacing w:line="32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kern w:val="0"/>
                <w:sz w:val="24"/>
                <w:szCs w:val="24"/>
              </w:rPr>
              <w:t>单位</w:t>
            </w:r>
          </w:p>
          <w:p w14:paraId="10045CB9">
            <w:pPr>
              <w:spacing w:line="32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kern w:val="0"/>
                <w:sz w:val="24"/>
                <w:szCs w:val="24"/>
              </w:rPr>
              <w:t>信息</w:t>
            </w:r>
          </w:p>
        </w:tc>
        <w:tc>
          <w:tcPr>
            <w:tcW w:w="1416" w:type="dxa"/>
            <w:vAlign w:val="center"/>
          </w:tcPr>
          <w:p w14:paraId="1265E8DF">
            <w:pPr>
              <w:spacing w:line="400" w:lineRule="exact"/>
              <w:jc w:val="center"/>
              <w:rPr>
                <w:rFonts w:ascii="仿宋" w:hAnsi="仿宋" w:eastAsia="仿宋" w:cs="CESI仿宋-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ESI仿宋-GB2312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6523" w:type="dxa"/>
            <w:gridSpan w:val="4"/>
            <w:vAlign w:val="center"/>
          </w:tcPr>
          <w:p w14:paraId="49272EB9">
            <w:pPr>
              <w:spacing w:line="400" w:lineRule="exac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6AA3674F">
            <w:pPr>
              <w:spacing w:line="400" w:lineRule="exac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1C00F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8" w:type="dxa"/>
            <w:vMerge w:val="continue"/>
            <w:vAlign w:val="center"/>
          </w:tcPr>
          <w:p w14:paraId="184082B3">
            <w:pPr>
              <w:spacing w:line="32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7DE2DC39">
            <w:pPr>
              <w:spacing w:line="400" w:lineRule="exact"/>
              <w:jc w:val="center"/>
              <w:rPr>
                <w:rFonts w:ascii="仿宋" w:hAnsi="仿宋" w:eastAsia="仿宋" w:cs="CESI仿宋-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ESI仿宋-GB2312"/>
                <w:kern w:val="0"/>
                <w:sz w:val="24"/>
                <w:szCs w:val="24"/>
              </w:rPr>
              <w:t>联 系 人</w:t>
            </w:r>
          </w:p>
        </w:tc>
        <w:tc>
          <w:tcPr>
            <w:tcW w:w="2739" w:type="dxa"/>
            <w:vAlign w:val="center"/>
          </w:tcPr>
          <w:p w14:paraId="2D48C3AE">
            <w:pPr>
              <w:spacing w:line="400" w:lineRule="exac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 xml:space="preserve">  </w:t>
            </w:r>
          </w:p>
          <w:p w14:paraId="35B2D387">
            <w:pPr>
              <w:spacing w:line="400" w:lineRule="exac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371" w:type="dxa"/>
            <w:gridSpan w:val="2"/>
            <w:vAlign w:val="center"/>
          </w:tcPr>
          <w:p w14:paraId="2869B810"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ESI仿宋-GB2312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413" w:type="dxa"/>
            <w:vAlign w:val="center"/>
          </w:tcPr>
          <w:p w14:paraId="032776B0">
            <w:pPr>
              <w:spacing w:line="400" w:lineRule="exac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20207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8" w:type="dxa"/>
            <w:vAlign w:val="center"/>
          </w:tcPr>
          <w:p w14:paraId="57D8C5A9">
            <w:pPr>
              <w:spacing w:line="32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报送</w:t>
            </w:r>
          </w:p>
          <w:p w14:paraId="3223D8FC">
            <w:pPr>
              <w:spacing w:line="32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kern w:val="0"/>
                <w:sz w:val="24"/>
                <w:szCs w:val="24"/>
              </w:rPr>
              <w:t>单位</w:t>
            </w:r>
          </w:p>
          <w:p w14:paraId="2448074D">
            <w:pPr>
              <w:spacing w:line="32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kern w:val="0"/>
                <w:sz w:val="24"/>
                <w:szCs w:val="24"/>
              </w:rPr>
              <w:t>意见</w:t>
            </w:r>
          </w:p>
        </w:tc>
        <w:tc>
          <w:tcPr>
            <w:tcW w:w="7939" w:type="dxa"/>
            <w:gridSpan w:val="5"/>
            <w:vAlign w:val="center"/>
          </w:tcPr>
          <w:p w14:paraId="7A4CE0F2">
            <w:pPr>
              <w:spacing w:line="300" w:lineRule="exact"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209567B4">
            <w:pPr>
              <w:spacing w:line="300" w:lineRule="exact"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1EB8195E">
            <w:pPr>
              <w:spacing w:line="300" w:lineRule="exact"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17B1EEBD">
            <w:pPr>
              <w:spacing w:line="400" w:lineRule="exact"/>
              <w:ind w:right="960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ESI仿宋-GB2312"/>
                <w:kern w:val="0"/>
                <w:sz w:val="24"/>
                <w:szCs w:val="24"/>
              </w:rPr>
              <w:t xml:space="preserve">负责人签字：               盖章：           日期：   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 xml:space="preserve">    </w:t>
            </w:r>
          </w:p>
        </w:tc>
      </w:tr>
    </w:tbl>
    <w:p w14:paraId="7F10811E">
      <w:pPr>
        <w:spacing w:line="480" w:lineRule="exact"/>
        <w:rPr>
          <w:rFonts w:asciiTheme="minorEastAsia" w:hAnsiTheme="minorEastAsia"/>
          <w:sz w:val="20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ESI仿宋-GB2312">
    <w:altName w:val="微软雅黑"/>
    <w:panose1 w:val="00000000000000000000"/>
    <w:charset w:val="86"/>
    <w:family w:val="auto"/>
    <w:pitch w:val="default"/>
    <w:sig w:usb0="00000000" w:usb1="00000000" w:usb2="00000010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Helvetica">
    <w:panose1 w:val="020B06040202020202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B5E"/>
    <w:rsid w:val="000021A5"/>
    <w:rsid w:val="0000283F"/>
    <w:rsid w:val="000032D2"/>
    <w:rsid w:val="000048B0"/>
    <w:rsid w:val="00015FEC"/>
    <w:rsid w:val="000270C2"/>
    <w:rsid w:val="000346A0"/>
    <w:rsid w:val="00040E42"/>
    <w:rsid w:val="000439AA"/>
    <w:rsid w:val="00047375"/>
    <w:rsid w:val="000516DC"/>
    <w:rsid w:val="00051EA1"/>
    <w:rsid w:val="000616FF"/>
    <w:rsid w:val="00063946"/>
    <w:rsid w:val="00067F24"/>
    <w:rsid w:val="000708FB"/>
    <w:rsid w:val="000722B5"/>
    <w:rsid w:val="00074DC4"/>
    <w:rsid w:val="000757B9"/>
    <w:rsid w:val="0007788E"/>
    <w:rsid w:val="00086B16"/>
    <w:rsid w:val="0009382C"/>
    <w:rsid w:val="000A3AEE"/>
    <w:rsid w:val="000A7B76"/>
    <w:rsid w:val="000B1D25"/>
    <w:rsid w:val="000D40F4"/>
    <w:rsid w:val="000D7FE8"/>
    <w:rsid w:val="000E186A"/>
    <w:rsid w:val="000E3685"/>
    <w:rsid w:val="000F0045"/>
    <w:rsid w:val="000F5E04"/>
    <w:rsid w:val="00100010"/>
    <w:rsid w:val="00102797"/>
    <w:rsid w:val="001042FD"/>
    <w:rsid w:val="0011131E"/>
    <w:rsid w:val="00111D29"/>
    <w:rsid w:val="001126CC"/>
    <w:rsid w:val="00112A1A"/>
    <w:rsid w:val="001156DF"/>
    <w:rsid w:val="00117581"/>
    <w:rsid w:val="001248DA"/>
    <w:rsid w:val="001334E1"/>
    <w:rsid w:val="00133ABE"/>
    <w:rsid w:val="001528E6"/>
    <w:rsid w:val="00156808"/>
    <w:rsid w:val="001628E7"/>
    <w:rsid w:val="00171B8E"/>
    <w:rsid w:val="00172BD0"/>
    <w:rsid w:val="0017493F"/>
    <w:rsid w:val="00194D6D"/>
    <w:rsid w:val="00196FB7"/>
    <w:rsid w:val="001A0073"/>
    <w:rsid w:val="001A1E98"/>
    <w:rsid w:val="001A3543"/>
    <w:rsid w:val="001A59C7"/>
    <w:rsid w:val="001B1465"/>
    <w:rsid w:val="001B1D21"/>
    <w:rsid w:val="001D0DD6"/>
    <w:rsid w:val="001D3DB7"/>
    <w:rsid w:val="001D7F97"/>
    <w:rsid w:val="001F286D"/>
    <w:rsid w:val="00201F1B"/>
    <w:rsid w:val="002038A2"/>
    <w:rsid w:val="00204EB0"/>
    <w:rsid w:val="00213D2A"/>
    <w:rsid w:val="00216C75"/>
    <w:rsid w:val="00224CD1"/>
    <w:rsid w:val="002342B7"/>
    <w:rsid w:val="00236850"/>
    <w:rsid w:val="00251CEA"/>
    <w:rsid w:val="00255C11"/>
    <w:rsid w:val="002656B7"/>
    <w:rsid w:val="002730EE"/>
    <w:rsid w:val="00282ABE"/>
    <w:rsid w:val="00282ED9"/>
    <w:rsid w:val="00292C6A"/>
    <w:rsid w:val="002A0DF1"/>
    <w:rsid w:val="002A23B5"/>
    <w:rsid w:val="002B7AFD"/>
    <w:rsid w:val="002D0947"/>
    <w:rsid w:val="002D403B"/>
    <w:rsid w:val="002D5503"/>
    <w:rsid w:val="002D6781"/>
    <w:rsid w:val="002E15C3"/>
    <w:rsid w:val="002F1D8A"/>
    <w:rsid w:val="002F28CE"/>
    <w:rsid w:val="002F38CA"/>
    <w:rsid w:val="002F4948"/>
    <w:rsid w:val="00307F1F"/>
    <w:rsid w:val="00311297"/>
    <w:rsid w:val="00320B39"/>
    <w:rsid w:val="00324A49"/>
    <w:rsid w:val="00325E27"/>
    <w:rsid w:val="0033053D"/>
    <w:rsid w:val="003371BC"/>
    <w:rsid w:val="00337610"/>
    <w:rsid w:val="00347C3B"/>
    <w:rsid w:val="00355609"/>
    <w:rsid w:val="00356A7A"/>
    <w:rsid w:val="0035776E"/>
    <w:rsid w:val="00367C93"/>
    <w:rsid w:val="003748EF"/>
    <w:rsid w:val="00375FAC"/>
    <w:rsid w:val="0038321D"/>
    <w:rsid w:val="00386722"/>
    <w:rsid w:val="00386B0E"/>
    <w:rsid w:val="00393681"/>
    <w:rsid w:val="0039627A"/>
    <w:rsid w:val="003A53E2"/>
    <w:rsid w:val="003B014B"/>
    <w:rsid w:val="003C3762"/>
    <w:rsid w:val="003C4C60"/>
    <w:rsid w:val="003D474F"/>
    <w:rsid w:val="003D6B80"/>
    <w:rsid w:val="003E29BC"/>
    <w:rsid w:val="003E5726"/>
    <w:rsid w:val="003E763D"/>
    <w:rsid w:val="003F2186"/>
    <w:rsid w:val="00405BA8"/>
    <w:rsid w:val="004354E1"/>
    <w:rsid w:val="004364A7"/>
    <w:rsid w:val="004447CB"/>
    <w:rsid w:val="00453DB2"/>
    <w:rsid w:val="00470E9A"/>
    <w:rsid w:val="00474A02"/>
    <w:rsid w:val="00475CC1"/>
    <w:rsid w:val="00476E48"/>
    <w:rsid w:val="00477FF1"/>
    <w:rsid w:val="004903EA"/>
    <w:rsid w:val="004C1C83"/>
    <w:rsid w:val="004D562F"/>
    <w:rsid w:val="004D6282"/>
    <w:rsid w:val="004E1AC1"/>
    <w:rsid w:val="004E6B95"/>
    <w:rsid w:val="004E6C78"/>
    <w:rsid w:val="004F69EE"/>
    <w:rsid w:val="005010D9"/>
    <w:rsid w:val="00505EA0"/>
    <w:rsid w:val="00515043"/>
    <w:rsid w:val="005155DE"/>
    <w:rsid w:val="005155FD"/>
    <w:rsid w:val="00522D60"/>
    <w:rsid w:val="00530E30"/>
    <w:rsid w:val="00537357"/>
    <w:rsid w:val="00547233"/>
    <w:rsid w:val="0055299A"/>
    <w:rsid w:val="00557F1D"/>
    <w:rsid w:val="00580A6B"/>
    <w:rsid w:val="0058267F"/>
    <w:rsid w:val="005A1753"/>
    <w:rsid w:val="005A7112"/>
    <w:rsid w:val="005B1C15"/>
    <w:rsid w:val="005B4157"/>
    <w:rsid w:val="005C3484"/>
    <w:rsid w:val="005D7475"/>
    <w:rsid w:val="005D7705"/>
    <w:rsid w:val="005E05E5"/>
    <w:rsid w:val="005E22CC"/>
    <w:rsid w:val="005E74BD"/>
    <w:rsid w:val="00601C22"/>
    <w:rsid w:val="00604DF3"/>
    <w:rsid w:val="006135C0"/>
    <w:rsid w:val="00617181"/>
    <w:rsid w:val="006227D6"/>
    <w:rsid w:val="006322D2"/>
    <w:rsid w:val="006401B2"/>
    <w:rsid w:val="0065553A"/>
    <w:rsid w:val="00664C90"/>
    <w:rsid w:val="006833C5"/>
    <w:rsid w:val="00691B0A"/>
    <w:rsid w:val="00693032"/>
    <w:rsid w:val="006944B6"/>
    <w:rsid w:val="006966B9"/>
    <w:rsid w:val="0069715C"/>
    <w:rsid w:val="006A1089"/>
    <w:rsid w:val="006A1FB5"/>
    <w:rsid w:val="006B26B1"/>
    <w:rsid w:val="006C4FB7"/>
    <w:rsid w:val="006D4FB4"/>
    <w:rsid w:val="00701366"/>
    <w:rsid w:val="00714BD1"/>
    <w:rsid w:val="007220D4"/>
    <w:rsid w:val="00723E17"/>
    <w:rsid w:val="00726DE7"/>
    <w:rsid w:val="00735E2D"/>
    <w:rsid w:val="00741AE7"/>
    <w:rsid w:val="00746743"/>
    <w:rsid w:val="00752DB8"/>
    <w:rsid w:val="0076295F"/>
    <w:rsid w:val="00766790"/>
    <w:rsid w:val="00770C3E"/>
    <w:rsid w:val="00777711"/>
    <w:rsid w:val="0078110F"/>
    <w:rsid w:val="00794727"/>
    <w:rsid w:val="007950FE"/>
    <w:rsid w:val="007A1148"/>
    <w:rsid w:val="007A387B"/>
    <w:rsid w:val="007B021F"/>
    <w:rsid w:val="007B0B61"/>
    <w:rsid w:val="007C4399"/>
    <w:rsid w:val="007C5CE8"/>
    <w:rsid w:val="007D41FC"/>
    <w:rsid w:val="007D45D7"/>
    <w:rsid w:val="007E3C94"/>
    <w:rsid w:val="007F3FB4"/>
    <w:rsid w:val="00802B1C"/>
    <w:rsid w:val="00814A2B"/>
    <w:rsid w:val="008242E0"/>
    <w:rsid w:val="00835AE7"/>
    <w:rsid w:val="00837F9C"/>
    <w:rsid w:val="00851200"/>
    <w:rsid w:val="0085783C"/>
    <w:rsid w:val="008674BC"/>
    <w:rsid w:val="0087170C"/>
    <w:rsid w:val="00873595"/>
    <w:rsid w:val="00875443"/>
    <w:rsid w:val="00881005"/>
    <w:rsid w:val="00882D12"/>
    <w:rsid w:val="0089336D"/>
    <w:rsid w:val="00893F9B"/>
    <w:rsid w:val="008A3614"/>
    <w:rsid w:val="008B1C84"/>
    <w:rsid w:val="008C2CD9"/>
    <w:rsid w:val="008C51B7"/>
    <w:rsid w:val="008C7FD5"/>
    <w:rsid w:val="008D068B"/>
    <w:rsid w:val="008E4533"/>
    <w:rsid w:val="008E6560"/>
    <w:rsid w:val="008F2B5E"/>
    <w:rsid w:val="009062FC"/>
    <w:rsid w:val="00912A20"/>
    <w:rsid w:val="0091723D"/>
    <w:rsid w:val="00920116"/>
    <w:rsid w:val="00921278"/>
    <w:rsid w:val="009610E8"/>
    <w:rsid w:val="009650AC"/>
    <w:rsid w:val="0096534E"/>
    <w:rsid w:val="00977E91"/>
    <w:rsid w:val="009819A8"/>
    <w:rsid w:val="00984B24"/>
    <w:rsid w:val="00991A76"/>
    <w:rsid w:val="0099782D"/>
    <w:rsid w:val="009A7CD1"/>
    <w:rsid w:val="009B1822"/>
    <w:rsid w:val="009C1E41"/>
    <w:rsid w:val="009C20FA"/>
    <w:rsid w:val="009C2D55"/>
    <w:rsid w:val="009C46E4"/>
    <w:rsid w:val="009C5EFA"/>
    <w:rsid w:val="009C7E42"/>
    <w:rsid w:val="009D7B6D"/>
    <w:rsid w:val="009E4C0B"/>
    <w:rsid w:val="009E638D"/>
    <w:rsid w:val="009F10EA"/>
    <w:rsid w:val="00A0211A"/>
    <w:rsid w:val="00A119BA"/>
    <w:rsid w:val="00A12920"/>
    <w:rsid w:val="00A229BB"/>
    <w:rsid w:val="00A22C62"/>
    <w:rsid w:val="00A23E44"/>
    <w:rsid w:val="00A255B8"/>
    <w:rsid w:val="00A32D70"/>
    <w:rsid w:val="00A44224"/>
    <w:rsid w:val="00A47B4D"/>
    <w:rsid w:val="00A5331F"/>
    <w:rsid w:val="00A73E14"/>
    <w:rsid w:val="00A86548"/>
    <w:rsid w:val="00A90624"/>
    <w:rsid w:val="00A9572C"/>
    <w:rsid w:val="00AA4761"/>
    <w:rsid w:val="00AA57F4"/>
    <w:rsid w:val="00AA7659"/>
    <w:rsid w:val="00AD14F2"/>
    <w:rsid w:val="00AD16CE"/>
    <w:rsid w:val="00AD4FEA"/>
    <w:rsid w:val="00AE050F"/>
    <w:rsid w:val="00AE32A1"/>
    <w:rsid w:val="00AE3A21"/>
    <w:rsid w:val="00AE4EDE"/>
    <w:rsid w:val="00AE5F7D"/>
    <w:rsid w:val="00AF5CC4"/>
    <w:rsid w:val="00B05DF3"/>
    <w:rsid w:val="00B14B96"/>
    <w:rsid w:val="00B16068"/>
    <w:rsid w:val="00B2195A"/>
    <w:rsid w:val="00B249DF"/>
    <w:rsid w:val="00B30AB5"/>
    <w:rsid w:val="00B31A6C"/>
    <w:rsid w:val="00B34A50"/>
    <w:rsid w:val="00B37826"/>
    <w:rsid w:val="00B426B5"/>
    <w:rsid w:val="00B46685"/>
    <w:rsid w:val="00B53971"/>
    <w:rsid w:val="00B55C22"/>
    <w:rsid w:val="00B56C4A"/>
    <w:rsid w:val="00B63985"/>
    <w:rsid w:val="00B70641"/>
    <w:rsid w:val="00B832E6"/>
    <w:rsid w:val="00B90962"/>
    <w:rsid w:val="00B90FEE"/>
    <w:rsid w:val="00B96663"/>
    <w:rsid w:val="00B9762B"/>
    <w:rsid w:val="00BA03F7"/>
    <w:rsid w:val="00BA3AF0"/>
    <w:rsid w:val="00BA465F"/>
    <w:rsid w:val="00BA7C06"/>
    <w:rsid w:val="00BB0C70"/>
    <w:rsid w:val="00BB105A"/>
    <w:rsid w:val="00BB3E37"/>
    <w:rsid w:val="00BB475C"/>
    <w:rsid w:val="00BB554D"/>
    <w:rsid w:val="00BC4B8C"/>
    <w:rsid w:val="00BC5C42"/>
    <w:rsid w:val="00BD128C"/>
    <w:rsid w:val="00BE2B17"/>
    <w:rsid w:val="00C042B1"/>
    <w:rsid w:val="00C167EC"/>
    <w:rsid w:val="00C17100"/>
    <w:rsid w:val="00C3189C"/>
    <w:rsid w:val="00C31AED"/>
    <w:rsid w:val="00C51ECF"/>
    <w:rsid w:val="00C54581"/>
    <w:rsid w:val="00C60617"/>
    <w:rsid w:val="00C60EA7"/>
    <w:rsid w:val="00C633E8"/>
    <w:rsid w:val="00C64291"/>
    <w:rsid w:val="00C65C79"/>
    <w:rsid w:val="00C7339E"/>
    <w:rsid w:val="00C8274E"/>
    <w:rsid w:val="00C90C52"/>
    <w:rsid w:val="00C91D6E"/>
    <w:rsid w:val="00CA2D1F"/>
    <w:rsid w:val="00CA4E7A"/>
    <w:rsid w:val="00CB1BDF"/>
    <w:rsid w:val="00CD054B"/>
    <w:rsid w:val="00CF3D99"/>
    <w:rsid w:val="00CF4239"/>
    <w:rsid w:val="00D04D53"/>
    <w:rsid w:val="00D05249"/>
    <w:rsid w:val="00D140F7"/>
    <w:rsid w:val="00D355A5"/>
    <w:rsid w:val="00D54E8E"/>
    <w:rsid w:val="00D66FBF"/>
    <w:rsid w:val="00D80B0C"/>
    <w:rsid w:val="00D82718"/>
    <w:rsid w:val="00D964E3"/>
    <w:rsid w:val="00DA6E9E"/>
    <w:rsid w:val="00DB1702"/>
    <w:rsid w:val="00DB2DEB"/>
    <w:rsid w:val="00DC4D5B"/>
    <w:rsid w:val="00DD6E09"/>
    <w:rsid w:val="00DF7FC0"/>
    <w:rsid w:val="00E05D4E"/>
    <w:rsid w:val="00E114A6"/>
    <w:rsid w:val="00E12DA9"/>
    <w:rsid w:val="00E23597"/>
    <w:rsid w:val="00E24F9E"/>
    <w:rsid w:val="00E348B2"/>
    <w:rsid w:val="00E572E2"/>
    <w:rsid w:val="00E620A9"/>
    <w:rsid w:val="00E73FF8"/>
    <w:rsid w:val="00E85A47"/>
    <w:rsid w:val="00E90A9E"/>
    <w:rsid w:val="00E962DE"/>
    <w:rsid w:val="00E9742A"/>
    <w:rsid w:val="00EA516E"/>
    <w:rsid w:val="00EB0811"/>
    <w:rsid w:val="00EB713A"/>
    <w:rsid w:val="00ED1007"/>
    <w:rsid w:val="00EE498B"/>
    <w:rsid w:val="00EF6D60"/>
    <w:rsid w:val="00EF6DD5"/>
    <w:rsid w:val="00F21031"/>
    <w:rsid w:val="00F24637"/>
    <w:rsid w:val="00F44B6A"/>
    <w:rsid w:val="00F5226D"/>
    <w:rsid w:val="00F52706"/>
    <w:rsid w:val="00F557C7"/>
    <w:rsid w:val="00F5757E"/>
    <w:rsid w:val="00F64FBC"/>
    <w:rsid w:val="00F65B9E"/>
    <w:rsid w:val="00F6656F"/>
    <w:rsid w:val="00F71456"/>
    <w:rsid w:val="00F7249D"/>
    <w:rsid w:val="00F84A6D"/>
    <w:rsid w:val="00F934E0"/>
    <w:rsid w:val="00FA09D9"/>
    <w:rsid w:val="00FA184D"/>
    <w:rsid w:val="00FA353A"/>
    <w:rsid w:val="00FA5DA8"/>
    <w:rsid w:val="00FB67F6"/>
    <w:rsid w:val="00FC017C"/>
    <w:rsid w:val="00FC02F5"/>
    <w:rsid w:val="00FC0501"/>
    <w:rsid w:val="00FC3BDA"/>
    <w:rsid w:val="00FC66F0"/>
    <w:rsid w:val="00FD394C"/>
    <w:rsid w:val="00FF0AEB"/>
    <w:rsid w:val="00FF386A"/>
    <w:rsid w:val="00FF4A20"/>
    <w:rsid w:val="02186A33"/>
    <w:rsid w:val="05D610DF"/>
    <w:rsid w:val="08365C40"/>
    <w:rsid w:val="08974E83"/>
    <w:rsid w:val="08FA1588"/>
    <w:rsid w:val="09D771D4"/>
    <w:rsid w:val="0CF06F2A"/>
    <w:rsid w:val="0F2C643F"/>
    <w:rsid w:val="115A0E16"/>
    <w:rsid w:val="13337CA0"/>
    <w:rsid w:val="137D703E"/>
    <w:rsid w:val="1393060F"/>
    <w:rsid w:val="149425C9"/>
    <w:rsid w:val="1AC9700C"/>
    <w:rsid w:val="1E1B36DB"/>
    <w:rsid w:val="1FD639BC"/>
    <w:rsid w:val="212D69C7"/>
    <w:rsid w:val="233249E1"/>
    <w:rsid w:val="243E45C7"/>
    <w:rsid w:val="25B44A02"/>
    <w:rsid w:val="2A19034C"/>
    <w:rsid w:val="2A1B601D"/>
    <w:rsid w:val="2A9418D5"/>
    <w:rsid w:val="2E053A60"/>
    <w:rsid w:val="2E7F5D0D"/>
    <w:rsid w:val="303167EA"/>
    <w:rsid w:val="33C57F19"/>
    <w:rsid w:val="33DE3A79"/>
    <w:rsid w:val="354C01C6"/>
    <w:rsid w:val="359C0020"/>
    <w:rsid w:val="36B97ADD"/>
    <w:rsid w:val="37873EE0"/>
    <w:rsid w:val="39924D42"/>
    <w:rsid w:val="39B32A88"/>
    <w:rsid w:val="40B90DC2"/>
    <w:rsid w:val="41D852BC"/>
    <w:rsid w:val="440A4C58"/>
    <w:rsid w:val="468C64C4"/>
    <w:rsid w:val="46D47674"/>
    <w:rsid w:val="4C0546E5"/>
    <w:rsid w:val="4CFB4554"/>
    <w:rsid w:val="4EA20CFD"/>
    <w:rsid w:val="4F391364"/>
    <w:rsid w:val="503118B6"/>
    <w:rsid w:val="5772766D"/>
    <w:rsid w:val="58B71C77"/>
    <w:rsid w:val="59C77FBD"/>
    <w:rsid w:val="5CBC1F99"/>
    <w:rsid w:val="5D283A76"/>
    <w:rsid w:val="5E223541"/>
    <w:rsid w:val="5F697A43"/>
    <w:rsid w:val="62377985"/>
    <w:rsid w:val="628506F0"/>
    <w:rsid w:val="638E55D2"/>
    <w:rsid w:val="63DA4A6C"/>
    <w:rsid w:val="66297E46"/>
    <w:rsid w:val="68BF2482"/>
    <w:rsid w:val="6B10565C"/>
    <w:rsid w:val="6D3A1B71"/>
    <w:rsid w:val="6F9A11F8"/>
    <w:rsid w:val="70F4004C"/>
    <w:rsid w:val="717604C9"/>
    <w:rsid w:val="719C74D0"/>
    <w:rsid w:val="744D2AE6"/>
    <w:rsid w:val="74A200E9"/>
    <w:rsid w:val="79142376"/>
    <w:rsid w:val="7BED2A08"/>
    <w:rsid w:val="7CB94B68"/>
    <w:rsid w:val="7CEA3B1A"/>
    <w:rsid w:val="7DF33A63"/>
    <w:rsid w:val="7F853FCE"/>
    <w:rsid w:val="7FD338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2E75B6" w:themeColor="accent1" w:themeShade="BF"/>
      <w:sz w:val="48"/>
      <w:szCs w:val="48"/>
      <w14:ligatures w14:val="standardContextual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5"/>
    <w:semiHidden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24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21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link w:val="22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9">
    <w:name w:val="annotation subject"/>
    <w:basedOn w:val="3"/>
    <w:next w:val="3"/>
    <w:link w:val="26"/>
    <w:semiHidden/>
    <w:unhideWhenUsed/>
    <w:qFormat/>
    <w:uiPriority w:val="99"/>
    <w:rPr>
      <w:b/>
      <w:bCs/>
    </w:rPr>
  </w:style>
  <w:style w:type="table" w:styleId="11">
    <w:name w:val="Table Grid"/>
    <w:basedOn w:val="10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22"/>
    <w:rPr>
      <w:b/>
    </w:rPr>
  </w:style>
  <w:style w:type="character" w:styleId="14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styleId="16">
    <w:name w:val="footnote reference"/>
    <w:basedOn w:val="12"/>
    <w:semiHidden/>
    <w:unhideWhenUsed/>
    <w:qFormat/>
    <w:uiPriority w:val="99"/>
    <w:rPr>
      <w:vertAlign w:val="superscript"/>
    </w:rPr>
  </w:style>
  <w:style w:type="character" w:customStyle="1" w:styleId="17">
    <w:name w:val="页眉 字符"/>
    <w:basedOn w:val="12"/>
    <w:link w:val="7"/>
    <w:qFormat/>
    <w:uiPriority w:val="99"/>
    <w:rPr>
      <w:sz w:val="18"/>
      <w:szCs w:val="18"/>
    </w:rPr>
  </w:style>
  <w:style w:type="character" w:customStyle="1" w:styleId="18">
    <w:name w:val="页脚 字符"/>
    <w:basedOn w:val="12"/>
    <w:link w:val="6"/>
    <w:qFormat/>
    <w:uiPriority w:val="99"/>
    <w:rPr>
      <w:sz w:val="18"/>
      <w:szCs w:val="18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未处理的提及1"/>
    <w:basedOn w:val="1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1">
    <w:name w:val="批注框文本 字符"/>
    <w:basedOn w:val="12"/>
    <w:link w:val="5"/>
    <w:semiHidden/>
    <w:qFormat/>
    <w:uiPriority w:val="99"/>
    <w:rPr>
      <w:rFonts w:ascii="宋体" w:eastAsia="宋体"/>
      <w:sz w:val="18"/>
      <w:szCs w:val="18"/>
    </w:rPr>
  </w:style>
  <w:style w:type="character" w:customStyle="1" w:styleId="22">
    <w:name w:val="脚注文本 字符"/>
    <w:basedOn w:val="12"/>
    <w:link w:val="8"/>
    <w:semiHidden/>
    <w:qFormat/>
    <w:uiPriority w:val="99"/>
    <w:rPr>
      <w:sz w:val="18"/>
      <w:szCs w:val="18"/>
    </w:rPr>
  </w:style>
  <w:style w:type="character" w:customStyle="1" w:styleId="23">
    <w:name w:val="未处理的提及2"/>
    <w:basedOn w:val="1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4">
    <w:name w:val="日期 字符"/>
    <w:basedOn w:val="12"/>
    <w:link w:val="4"/>
    <w:semiHidden/>
    <w:qFormat/>
    <w:uiPriority w:val="99"/>
  </w:style>
  <w:style w:type="character" w:customStyle="1" w:styleId="25">
    <w:name w:val="批注文字 字符"/>
    <w:basedOn w:val="12"/>
    <w:link w:val="3"/>
    <w:semiHidden/>
    <w:qFormat/>
    <w:uiPriority w:val="99"/>
  </w:style>
  <w:style w:type="character" w:customStyle="1" w:styleId="26">
    <w:name w:val="批注主题 字符"/>
    <w:basedOn w:val="25"/>
    <w:link w:val="9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1977</Words>
  <Characters>2157</Characters>
  <Lines>14</Lines>
  <Paragraphs>3</Paragraphs>
  <TotalTime>22</TotalTime>
  <ScaleCrop>false</ScaleCrop>
  <LinksUpToDate>false</LinksUpToDate>
  <CharactersWithSpaces>2227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2023-02-16T02:08:00Z</dcterms:created>
  <dc:creator>x</dc:creator>
  <cp:lastModifiedBy>DENG</cp:lastModifiedBy>
  <cp:lastPrinted>2025-11-10T01:37:00Z</cp:lastPrinted>
  <dcterms:modified xsi:type="dcterms:W3CDTF">2025-11-11T02:27:20Z</dcterms:modified>
  <cp:revision>134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eyJoZGlkIjoiMjI3ZTI5ZGM4NTBmZjM3ODc5MDJlOWQ0YTIwNjE5MGIiLCJ1c2VySWQiOiIxNjgyNjMyNDE2In0=</vt:lpwstr>
  </property>
  <property fmtid="{D5CDD505-2E9C-101B-9397-08002B2CF9AE}" pid="3" name="KSOProductBuildVer">
    <vt:lpwstr>2052-12.1.0.23125</vt:lpwstr>
  </property>
  <property fmtid="{D5CDD505-2E9C-101B-9397-08002B2CF9AE}" pid="4" name="ICV">
    <vt:lpwstr>61A468DD4BFA4C5FAB5A58CDC550B533_12</vt:lpwstr>
  </property>
</Properties>
</file>