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6E" w:rsidRDefault="00C51834" w:rsidP="00DF0489">
      <w:pPr>
        <w:spacing w:beforeLines="50" w:afterLines="50" w:line="360" w:lineRule="auto"/>
        <w:jc w:val="center"/>
        <w:rPr>
          <w:rFonts w:ascii="黑体" w:eastAsia="黑体" w:cs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浦东新区“十三五”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教师继续教育</w:t>
      </w:r>
      <w:r>
        <w:rPr>
          <w:rFonts w:ascii="黑体" w:eastAsia="黑体" w:cs="黑体" w:hint="eastAsia"/>
          <w:b/>
          <w:bCs/>
          <w:sz w:val="32"/>
          <w:szCs w:val="32"/>
        </w:rPr>
        <w:t>选修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cs="黑体" w:hint="eastAsia"/>
          <w:b/>
          <w:bCs/>
          <w:sz w:val="32"/>
          <w:szCs w:val="32"/>
        </w:rPr>
        <w:t>指南</w:t>
      </w:r>
    </w:p>
    <w:p w:rsidR="00C51834" w:rsidRDefault="00C51834" w:rsidP="00DF0489">
      <w:pPr>
        <w:spacing w:beforeLines="50" w:afterLines="50" w:line="360" w:lineRule="auto"/>
        <w:jc w:val="center"/>
        <w:rPr>
          <w:rFonts w:ascii="黑体" w:eastAsia="黑体" w:cs="Times New Roman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（</w:t>
      </w:r>
      <w:r w:rsidR="005163AE">
        <w:rPr>
          <w:rFonts w:ascii="黑体" w:eastAsia="黑体" w:cs="黑体" w:hint="eastAsia"/>
          <w:b/>
          <w:bCs/>
          <w:sz w:val="32"/>
          <w:szCs w:val="32"/>
        </w:rPr>
        <w:t>试用</w:t>
      </w:r>
      <w:r w:rsidR="00497A4A">
        <w:rPr>
          <w:rFonts w:ascii="黑体" w:eastAsia="黑体" w:cs="黑体" w:hint="eastAsia"/>
          <w:b/>
          <w:bCs/>
          <w:sz w:val="32"/>
          <w:szCs w:val="32"/>
        </w:rPr>
        <w:t>稿</w:t>
      </w:r>
      <w:r>
        <w:rPr>
          <w:rFonts w:ascii="黑体" w:eastAsia="黑体" w:cs="黑体" w:hint="eastAsia"/>
          <w:b/>
          <w:bCs/>
          <w:sz w:val="32"/>
          <w:szCs w:val="32"/>
        </w:rPr>
        <w:t>）</w:t>
      </w:r>
    </w:p>
    <w:p w:rsidR="00C51834" w:rsidRPr="0016623B" w:rsidRDefault="00C51834" w:rsidP="00DF0489">
      <w:pPr>
        <w:adjustRightInd w:val="0"/>
        <w:snapToGrid w:val="0"/>
        <w:spacing w:beforeLines="50" w:line="360" w:lineRule="auto"/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</w:t>
      </w:r>
      <w:r w:rsidRPr="0016623B">
        <w:rPr>
          <w:rFonts w:ascii="黑体" w:eastAsia="黑体" w:hAnsi="黑体" w:cs="黑体" w:hint="eastAsia"/>
          <w:b/>
          <w:bCs/>
          <w:sz w:val="28"/>
          <w:szCs w:val="28"/>
        </w:rPr>
        <w:t>前</w:t>
      </w:r>
      <w:r>
        <w:rPr>
          <w:rFonts w:ascii="黑体" w:eastAsia="黑体" w:hAnsi="黑体" w:cs="黑体"/>
          <w:b/>
          <w:bCs/>
          <w:sz w:val="28"/>
          <w:szCs w:val="28"/>
        </w:rPr>
        <w:t xml:space="preserve">  </w:t>
      </w:r>
      <w:r w:rsidRPr="0016623B">
        <w:rPr>
          <w:rFonts w:ascii="黑体" w:eastAsia="黑体" w:hAnsi="黑体" w:cs="黑体" w:hint="eastAsia"/>
          <w:b/>
          <w:bCs/>
          <w:sz w:val="28"/>
          <w:szCs w:val="28"/>
        </w:rPr>
        <w:t>言</w:t>
      </w:r>
    </w:p>
    <w:p w:rsidR="00731E01" w:rsidRPr="004B4554" w:rsidRDefault="00731E01" w:rsidP="00731E0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为贯彻《浦东新区“十三五”教师继续教育实施意见》，落实《浦东新区教师继续教育课程建设指导意见》，构建“开放、多元、科学、亲和”的区域教师继续教育课程体系，</w:t>
      </w:r>
      <w:r w:rsidRPr="002366C8">
        <w:rPr>
          <w:rFonts w:ascii="仿宋" w:eastAsia="仿宋" w:hAnsi="仿宋" w:cs="仿宋" w:hint="eastAsia"/>
          <w:sz w:val="28"/>
          <w:szCs w:val="28"/>
        </w:rPr>
        <w:t>引领</w:t>
      </w:r>
      <w:r w:rsidRPr="004B4554">
        <w:rPr>
          <w:rFonts w:ascii="仿宋" w:eastAsia="仿宋" w:hAnsi="仿宋" w:cs="仿宋" w:hint="eastAsia"/>
          <w:sz w:val="28"/>
          <w:szCs w:val="28"/>
        </w:rPr>
        <w:t>浦东新区教师继续教育课程开发，特制定《浦东新区“十三五”教师继续教育选修课程指南》（以下简称《课程指南》）。</w:t>
      </w:r>
    </w:p>
    <w:p w:rsidR="00731E01" w:rsidRPr="004B4554" w:rsidRDefault="00731E01" w:rsidP="00731E0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《课程指南》以教育部《教师教育课程标准（试行）》为指导，以教育部《教师专业标准（试行）》对教师素养的要求为依据，</w:t>
      </w:r>
      <w:r>
        <w:rPr>
          <w:rFonts w:ascii="仿宋" w:eastAsia="仿宋" w:hAnsi="仿宋" w:cs="仿宋" w:hint="eastAsia"/>
          <w:sz w:val="28"/>
          <w:szCs w:val="28"/>
        </w:rPr>
        <w:t>以</w:t>
      </w:r>
      <w:r w:rsidRPr="004B4554">
        <w:rPr>
          <w:rFonts w:ascii="仿宋" w:eastAsia="仿宋" w:hAnsi="仿宋" w:cs="仿宋" w:hint="eastAsia"/>
          <w:sz w:val="28"/>
          <w:szCs w:val="28"/>
        </w:rPr>
        <w:t>区域教师教育发展的现状和特点</w:t>
      </w:r>
      <w:r>
        <w:rPr>
          <w:rFonts w:ascii="仿宋" w:eastAsia="仿宋" w:hAnsi="仿宋" w:cs="仿宋" w:hint="eastAsia"/>
          <w:sz w:val="28"/>
          <w:szCs w:val="28"/>
        </w:rPr>
        <w:t>为核心，旨在</w:t>
      </w:r>
      <w:r w:rsidRPr="004B4554">
        <w:rPr>
          <w:rFonts w:ascii="仿宋" w:eastAsia="仿宋" w:hAnsi="仿宋" w:cs="仿宋" w:hint="eastAsia"/>
          <w:sz w:val="28"/>
          <w:szCs w:val="28"/>
        </w:rPr>
        <w:t>满足区域教师专业发展的多样化需求，</w:t>
      </w:r>
      <w:r w:rsidRPr="002366C8">
        <w:rPr>
          <w:rFonts w:ascii="仿宋" w:eastAsia="仿宋" w:hAnsi="仿宋" w:cs="仿宋" w:hint="eastAsia"/>
          <w:sz w:val="28"/>
          <w:szCs w:val="28"/>
        </w:rPr>
        <w:t>引导</w:t>
      </w:r>
      <w:r w:rsidRPr="004B4554">
        <w:rPr>
          <w:rFonts w:ascii="仿宋" w:eastAsia="仿宋" w:hAnsi="仿宋" w:cs="仿宋" w:hint="eastAsia"/>
          <w:sz w:val="28"/>
          <w:szCs w:val="28"/>
        </w:rPr>
        <w:t>教师加深专业理解、解决实际问题、提升自身</w:t>
      </w:r>
      <w:r>
        <w:rPr>
          <w:rFonts w:ascii="仿宋" w:eastAsia="仿宋" w:hAnsi="仿宋" w:cs="仿宋" w:hint="eastAsia"/>
          <w:sz w:val="28"/>
          <w:szCs w:val="28"/>
        </w:rPr>
        <w:t>素养</w:t>
      </w:r>
      <w:r w:rsidRPr="004B4554">
        <w:rPr>
          <w:rFonts w:ascii="仿宋" w:eastAsia="仿宋" w:hAnsi="仿宋" w:cs="仿宋" w:hint="eastAsia"/>
          <w:sz w:val="28"/>
          <w:szCs w:val="28"/>
        </w:rPr>
        <w:t>，促进教师</w:t>
      </w:r>
      <w:r>
        <w:rPr>
          <w:rFonts w:ascii="仿宋" w:eastAsia="仿宋" w:hAnsi="仿宋" w:cs="仿宋" w:hint="eastAsia"/>
          <w:sz w:val="28"/>
          <w:szCs w:val="28"/>
        </w:rPr>
        <w:t>全人</w:t>
      </w:r>
      <w:r w:rsidRPr="004B4554">
        <w:rPr>
          <w:rFonts w:ascii="仿宋" w:eastAsia="仿宋" w:hAnsi="仿宋" w:cs="仿宋" w:hint="eastAsia"/>
          <w:sz w:val="28"/>
          <w:szCs w:val="28"/>
        </w:rPr>
        <w:t>发展。</w:t>
      </w:r>
    </w:p>
    <w:p w:rsidR="00C51834" w:rsidRDefault="00731E01" w:rsidP="00731E0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《课程指南》</w:t>
      </w:r>
      <w:r>
        <w:rPr>
          <w:rFonts w:ascii="仿宋" w:eastAsia="仿宋" w:hAnsi="仿宋" w:cs="仿宋" w:hint="eastAsia"/>
          <w:sz w:val="28"/>
          <w:szCs w:val="28"/>
        </w:rPr>
        <w:t>分“中小学”和“</w:t>
      </w:r>
      <w:r w:rsidR="00D86C3D">
        <w:rPr>
          <w:rFonts w:ascii="仿宋" w:eastAsia="仿宋" w:hAnsi="仿宋" w:cs="仿宋" w:hint="eastAsia"/>
          <w:sz w:val="28"/>
          <w:szCs w:val="28"/>
        </w:rPr>
        <w:t>幼儿园</w:t>
      </w:r>
      <w:r>
        <w:rPr>
          <w:rFonts w:ascii="仿宋" w:eastAsia="仿宋" w:hAnsi="仿宋" w:cs="仿宋" w:hint="eastAsia"/>
          <w:sz w:val="28"/>
          <w:szCs w:val="28"/>
        </w:rPr>
        <w:t>”两个板块。每一板块</w:t>
      </w:r>
      <w:r w:rsidRPr="004B4554">
        <w:rPr>
          <w:rFonts w:ascii="仿宋" w:eastAsia="仿宋" w:hAnsi="仿宋" w:cs="仿宋" w:hint="eastAsia"/>
          <w:sz w:val="28"/>
          <w:szCs w:val="28"/>
        </w:rPr>
        <w:t>包括“课程维度”、“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4B4554">
        <w:rPr>
          <w:rFonts w:ascii="仿宋" w:eastAsia="仿宋" w:hAnsi="仿宋" w:cs="仿宋" w:hint="eastAsia"/>
          <w:sz w:val="28"/>
          <w:szCs w:val="28"/>
        </w:rPr>
        <w:t>“内容</w:t>
      </w:r>
      <w:r>
        <w:rPr>
          <w:rFonts w:ascii="仿宋" w:eastAsia="仿宋" w:hAnsi="仿宋" w:cs="仿宋" w:hint="eastAsia"/>
          <w:sz w:val="28"/>
          <w:szCs w:val="28"/>
        </w:rPr>
        <w:t>说明</w:t>
      </w:r>
      <w:r w:rsidRPr="004B4554"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和“课程举例”四</w:t>
      </w:r>
      <w:r w:rsidRPr="004B4554">
        <w:rPr>
          <w:rFonts w:ascii="仿宋" w:eastAsia="仿宋" w:hAnsi="仿宋" w:cs="仿宋" w:hint="eastAsia"/>
          <w:sz w:val="28"/>
          <w:szCs w:val="28"/>
        </w:rPr>
        <w:t>个栏目。其中，“课程维度”</w:t>
      </w:r>
      <w:r>
        <w:rPr>
          <w:rFonts w:ascii="仿宋" w:eastAsia="仿宋" w:hAnsi="仿宋" w:cs="仿宋" w:hint="eastAsia"/>
          <w:sz w:val="28"/>
          <w:szCs w:val="28"/>
        </w:rPr>
        <w:t>包括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专业</w:t>
      </w:r>
      <w:r w:rsidRPr="004B4554">
        <w:rPr>
          <w:rFonts w:ascii="仿宋" w:eastAsia="仿宋" w:hAnsi="仿宋" w:cs="仿宋" w:hint="eastAsia"/>
          <w:sz w:val="28"/>
          <w:szCs w:val="28"/>
        </w:rPr>
        <w:t>理解”、“</w:t>
      </w:r>
      <w:r>
        <w:rPr>
          <w:rFonts w:ascii="仿宋" w:eastAsia="仿宋" w:hAnsi="仿宋" w:cs="仿宋" w:hint="eastAsia"/>
          <w:sz w:val="28"/>
          <w:szCs w:val="28"/>
        </w:rPr>
        <w:t>专业</w:t>
      </w:r>
      <w:r w:rsidRPr="004B4554">
        <w:rPr>
          <w:rFonts w:ascii="仿宋" w:eastAsia="仿宋" w:hAnsi="仿宋" w:cs="仿宋" w:hint="eastAsia"/>
          <w:sz w:val="28"/>
          <w:szCs w:val="28"/>
        </w:rPr>
        <w:t>实践”</w:t>
      </w:r>
      <w:r>
        <w:rPr>
          <w:rFonts w:ascii="仿宋" w:eastAsia="仿宋" w:hAnsi="仿宋" w:cs="仿宋" w:hint="eastAsia"/>
          <w:sz w:val="28"/>
          <w:szCs w:val="28"/>
        </w:rPr>
        <w:t>和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 w:rsidR="00603CAE">
        <w:rPr>
          <w:rFonts w:ascii="仿宋" w:eastAsia="仿宋" w:hAnsi="仿宋" w:cs="仿宋" w:hint="eastAsia"/>
          <w:sz w:val="28"/>
          <w:szCs w:val="28"/>
        </w:rPr>
        <w:t>全人发展</w:t>
      </w:r>
      <w:r>
        <w:rPr>
          <w:rFonts w:ascii="仿宋" w:eastAsia="仿宋" w:hAnsi="仿宋" w:cs="仿宋" w:hint="eastAsia"/>
          <w:sz w:val="28"/>
          <w:szCs w:val="28"/>
        </w:rPr>
        <w:t>”；“课程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模块”列举</w:t>
      </w:r>
      <w:r>
        <w:rPr>
          <w:rFonts w:ascii="仿宋" w:eastAsia="仿宋" w:hAnsi="仿宋" w:cs="仿宋" w:hint="eastAsia"/>
          <w:sz w:val="28"/>
          <w:szCs w:val="28"/>
        </w:rPr>
        <w:t>了</w:t>
      </w:r>
      <w:r w:rsidRPr="004B4554">
        <w:rPr>
          <w:rFonts w:ascii="仿宋" w:eastAsia="仿宋" w:hAnsi="仿宋" w:cs="仿宋" w:hint="eastAsia"/>
          <w:sz w:val="28"/>
          <w:szCs w:val="28"/>
        </w:rPr>
        <w:t>与“课程维度”相匹配</w:t>
      </w:r>
      <w:r>
        <w:rPr>
          <w:rFonts w:ascii="仿宋" w:eastAsia="仿宋" w:hAnsi="仿宋" w:cs="仿宋" w:hint="eastAsia"/>
          <w:sz w:val="28"/>
          <w:szCs w:val="28"/>
        </w:rPr>
        <w:t>的课程大类；“</w:t>
      </w:r>
      <w:r w:rsidRPr="004B4554">
        <w:rPr>
          <w:rFonts w:ascii="仿宋" w:eastAsia="仿宋" w:hAnsi="仿宋" w:cs="仿宋" w:hint="eastAsia"/>
          <w:sz w:val="28"/>
          <w:szCs w:val="28"/>
        </w:rPr>
        <w:t>内容</w:t>
      </w:r>
      <w:r>
        <w:rPr>
          <w:rFonts w:ascii="仿宋" w:eastAsia="仿宋" w:hAnsi="仿宋" w:cs="仿宋" w:hint="eastAsia"/>
          <w:sz w:val="28"/>
          <w:szCs w:val="28"/>
        </w:rPr>
        <w:t>说明</w:t>
      </w:r>
      <w:r w:rsidRPr="004B4554">
        <w:rPr>
          <w:rFonts w:ascii="仿宋" w:eastAsia="仿宋" w:hAnsi="仿宋" w:cs="仿宋" w:hint="eastAsia"/>
          <w:sz w:val="28"/>
          <w:szCs w:val="28"/>
        </w:rPr>
        <w:t>”列举此“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模块”下可开设的主要内容</w:t>
      </w:r>
      <w:r>
        <w:rPr>
          <w:rFonts w:ascii="仿宋" w:eastAsia="仿宋" w:hAnsi="仿宋" w:cs="仿宋" w:hint="eastAsia"/>
          <w:sz w:val="28"/>
          <w:szCs w:val="28"/>
        </w:rPr>
        <w:t>；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举例”</w:t>
      </w:r>
      <w:r w:rsidR="00275F81">
        <w:rPr>
          <w:rFonts w:ascii="仿宋" w:eastAsia="仿宋" w:hAnsi="仿宋" w:cs="仿宋" w:hint="eastAsia"/>
          <w:sz w:val="28"/>
          <w:szCs w:val="28"/>
        </w:rPr>
        <w:t>例</w:t>
      </w:r>
      <w:r w:rsidR="0043331C">
        <w:rPr>
          <w:rFonts w:ascii="仿宋" w:eastAsia="仿宋" w:hAnsi="仿宋" w:cs="仿宋" w:hint="eastAsia"/>
          <w:sz w:val="28"/>
          <w:szCs w:val="28"/>
        </w:rPr>
        <w:t>举</w:t>
      </w:r>
      <w:r w:rsidR="007B61F2">
        <w:rPr>
          <w:rFonts w:ascii="仿宋" w:eastAsia="仿宋" w:hAnsi="仿宋" w:cs="仿宋" w:hint="eastAsia"/>
          <w:sz w:val="28"/>
          <w:szCs w:val="28"/>
        </w:rPr>
        <w:t>了部分</w:t>
      </w:r>
      <w:r w:rsidR="00D91B0F">
        <w:rPr>
          <w:rFonts w:ascii="仿宋" w:eastAsia="仿宋" w:hAnsi="仿宋" w:cs="仿宋" w:hint="eastAsia"/>
          <w:sz w:val="28"/>
          <w:szCs w:val="28"/>
        </w:rPr>
        <w:t>课程名称</w:t>
      </w:r>
      <w:r w:rsidR="00FB0E15">
        <w:rPr>
          <w:rFonts w:ascii="仿宋" w:eastAsia="仿宋" w:hAnsi="仿宋" w:cs="仿宋" w:hint="eastAsia"/>
          <w:sz w:val="28"/>
          <w:szCs w:val="28"/>
        </w:rPr>
        <w:t>，包括“十二五”期间开设过的课程和“十三五”</w:t>
      </w:r>
      <w:r w:rsidR="00961484">
        <w:rPr>
          <w:rFonts w:ascii="仿宋" w:eastAsia="仿宋" w:hAnsi="仿宋" w:cs="仿宋" w:hint="eastAsia"/>
          <w:sz w:val="28"/>
          <w:szCs w:val="28"/>
        </w:rPr>
        <w:t>期间</w:t>
      </w:r>
      <w:r w:rsidR="00F772CB">
        <w:rPr>
          <w:rFonts w:ascii="仿宋" w:eastAsia="仿宋" w:hAnsi="仿宋" w:cs="仿宋" w:hint="eastAsia"/>
          <w:sz w:val="28"/>
          <w:szCs w:val="28"/>
        </w:rPr>
        <w:t>可</w:t>
      </w:r>
      <w:r w:rsidR="00FB0E15">
        <w:rPr>
          <w:rFonts w:ascii="仿宋" w:eastAsia="仿宋" w:hAnsi="仿宋" w:cs="仿宋" w:hint="eastAsia"/>
          <w:sz w:val="28"/>
          <w:szCs w:val="28"/>
        </w:rPr>
        <w:t>开设的课程</w:t>
      </w:r>
      <w:r w:rsidRPr="004B4554">
        <w:rPr>
          <w:rFonts w:ascii="仿宋" w:eastAsia="仿宋" w:hAnsi="仿宋" w:cs="仿宋" w:hint="eastAsia"/>
          <w:sz w:val="28"/>
          <w:szCs w:val="28"/>
        </w:rPr>
        <w:t>。</w:t>
      </w:r>
    </w:p>
    <w:p w:rsidR="008B08A6" w:rsidRDefault="008B08A6" w:rsidP="00000D24">
      <w:pPr>
        <w:spacing w:line="360" w:lineRule="auto"/>
        <w:rPr>
          <w:rFonts w:ascii="黑体" w:eastAsia="黑体" w:hAnsi="黑体" w:cs="黑体"/>
          <w:b/>
          <w:bCs/>
          <w:sz w:val="28"/>
          <w:szCs w:val="28"/>
        </w:rPr>
        <w:sectPr w:rsidR="008B08A6" w:rsidSect="00CE364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00D24" w:rsidRDefault="00000D24" w:rsidP="00000D24">
      <w:pPr>
        <w:spacing w:line="360" w:lineRule="auto"/>
        <w:rPr>
          <w:rFonts w:ascii="黑体" w:eastAsia="黑体" w:hAnsi="黑体" w:cs="Times New Roman"/>
          <w:b/>
          <w:bCs/>
          <w:sz w:val="28"/>
          <w:szCs w:val="28"/>
        </w:rPr>
      </w:pPr>
      <w:r w:rsidRPr="0092774F"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二、</w:t>
      </w:r>
      <w:r w:rsidRPr="00B3725A">
        <w:rPr>
          <w:rFonts w:ascii="黑体" w:eastAsia="黑体" w:cs="黑体" w:hint="eastAsia"/>
          <w:b/>
          <w:bCs/>
          <w:sz w:val="32"/>
          <w:szCs w:val="32"/>
        </w:rPr>
        <w:t>中小学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教师继续教育</w:t>
      </w:r>
      <w:r>
        <w:rPr>
          <w:rFonts w:ascii="黑体" w:eastAsia="黑体" w:cs="黑体" w:hint="eastAsia"/>
          <w:b/>
          <w:bCs/>
          <w:sz w:val="32"/>
          <w:szCs w:val="32"/>
        </w:rPr>
        <w:t>选修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cs="黑体" w:hint="eastAsia"/>
          <w:b/>
          <w:bCs/>
          <w:sz w:val="32"/>
          <w:szCs w:val="32"/>
        </w:rPr>
        <w:t>指南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7"/>
        <w:gridCol w:w="1896"/>
        <w:gridCol w:w="6023"/>
        <w:gridCol w:w="4707"/>
      </w:tblGrid>
      <w:tr w:rsidR="00000D24" w:rsidRPr="00B75533" w:rsidTr="008243AE">
        <w:trPr>
          <w:trHeight w:val="512"/>
          <w:tblHeader/>
        </w:trPr>
        <w:tc>
          <w:tcPr>
            <w:tcW w:w="1367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课程维度</w:t>
            </w:r>
          </w:p>
        </w:tc>
        <w:tc>
          <w:tcPr>
            <w:tcW w:w="1896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</w:t>
            </w: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模块</w:t>
            </w:r>
          </w:p>
        </w:tc>
        <w:tc>
          <w:tcPr>
            <w:tcW w:w="6023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内容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说明</w:t>
            </w:r>
          </w:p>
        </w:tc>
        <w:tc>
          <w:tcPr>
            <w:tcW w:w="4707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课程举例</w:t>
            </w:r>
          </w:p>
        </w:tc>
      </w:tr>
      <w:tr w:rsidR="00000D24" w:rsidRPr="00B75533" w:rsidTr="000236C6">
        <w:trPr>
          <w:trHeight w:val="1288"/>
        </w:trPr>
        <w:tc>
          <w:tcPr>
            <w:tcW w:w="1367" w:type="dxa"/>
            <w:vMerge w:val="restart"/>
            <w:vAlign w:val="center"/>
          </w:tcPr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理</w:t>
            </w:r>
          </w:p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解</w:t>
            </w: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职业理解与认同</w:t>
            </w:r>
          </w:p>
        </w:tc>
        <w:tc>
          <w:tcPr>
            <w:tcW w:w="6023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帮助教师了解教育政策法规，提高对职业价值、意义的认识，规划自己的职业成长、专业发展。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《教师专业发展的途径与策略》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《名家教育观》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9D2710" w:rsidRDefault="009D2710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9D2710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学科教学知识</w:t>
            </w:r>
          </w:p>
        </w:tc>
        <w:tc>
          <w:tcPr>
            <w:tcW w:w="6023" w:type="dxa"/>
            <w:vAlign w:val="center"/>
          </w:tcPr>
          <w:p w:rsidR="009D2710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帮助教师深入了解学科教学知识、技能的相关课程。包括：《课程标准》解读；教材分析；学科教育</w:t>
            </w:r>
            <w:r w:rsidR="0031166B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教学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发展史；古今课程对照；中外课程比较等。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《小学语文教材分析》</w:t>
            </w:r>
          </w:p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《数学课程标准解读》</w:t>
            </w:r>
          </w:p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《现代语文教育史》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《基于话题的初中英语教材各单元整体把握》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9D2710" w:rsidRDefault="009D2710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9D2710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</w:t>
            </w:r>
            <w:r w:rsidR="008205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教学</w:t>
            </w: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</w:t>
            </w:r>
          </w:p>
        </w:tc>
        <w:tc>
          <w:tcPr>
            <w:tcW w:w="6023" w:type="dxa"/>
            <w:vAlign w:val="center"/>
          </w:tcPr>
          <w:p w:rsidR="009D2710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因</w:t>
            </w:r>
            <w:r w:rsidR="000D57A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政治、经济、文化、科学等方面的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发展而带动的</w:t>
            </w:r>
            <w:r w:rsidR="00D664CD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有关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发展动态</w:t>
            </w:r>
            <w:r w:rsidR="00D664CD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课程。包括：社会科学、自然科学的新发现；学科教育热点问题、学科学术研究前沿介绍等。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《文学领域学术研究前沿》</w:t>
            </w:r>
          </w:p>
          <w:p w:rsidR="00536939" w:rsidRPr="000236C6" w:rsidRDefault="0053693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《翻转课堂的技术实现与教学应用》</w:t>
            </w:r>
          </w:p>
          <w:p w:rsidR="000D57A5" w:rsidRPr="000236C6" w:rsidRDefault="000D57A5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《科学幻想与自然科学》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《语言习得理论略览》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《中国英语教育现状与思考》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教育理论</w:t>
            </w:r>
            <w:r w:rsidR="008205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</w:t>
            </w:r>
          </w:p>
        </w:tc>
        <w:tc>
          <w:tcPr>
            <w:tcW w:w="6023" w:type="dxa"/>
            <w:vAlign w:val="center"/>
          </w:tcPr>
          <w:p w:rsidR="00543FB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当前教育领域的新知识、新话题，提升教师对教育者的自我剖析能力，深化对学生的认识，加强对教育现象的思考的课程。包括：当代教育思潮，建构主义的教育策略、人本主义教育；学校教育发展史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《学会研究的学习》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《基于问题研究的创新教育》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《学习科学新进展》</w:t>
            </w:r>
          </w:p>
        </w:tc>
      </w:tr>
      <w:tr w:rsidR="00000D24" w:rsidRPr="00B75533" w:rsidTr="000236C6">
        <w:tc>
          <w:tcPr>
            <w:tcW w:w="1367" w:type="dxa"/>
            <w:vMerge w:val="restart"/>
            <w:vAlign w:val="center"/>
          </w:tcPr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实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践</w:t>
            </w: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学科教学设计与实施</w:t>
            </w:r>
          </w:p>
        </w:tc>
        <w:tc>
          <w:tcPr>
            <w:tcW w:w="6023" w:type="dxa"/>
            <w:vAlign w:val="center"/>
          </w:tcPr>
          <w:p w:rsidR="00543FB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学科教学实践，帮助教师把握教材、提升课堂教学实效的课程。包括：教学内容的确定与教学设计；课堂组织与实施；课堂教学的预设与生成；导入技巧、提问策略、复习巩固；实验设计与现场指导；单元整体学习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与课堂教学实践等。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《高中语文写作教学设计》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《小学品德与社会学科案例教学实践指导》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《中学化学实验教学设计与改进创新》</w:t>
            </w:r>
          </w:p>
          <w:p w:rsidR="000D57A5" w:rsidRPr="000236C6" w:rsidRDefault="000D57A5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《中学语文问题化教学设计与实施》</w:t>
            </w:r>
          </w:p>
          <w:p w:rsidR="000D57A5" w:rsidRPr="000236C6" w:rsidRDefault="000D57A5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《中学语文文体阅读教学设计与实施》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《英语语音语调教学：设计与实操》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430594" w:rsidRDefault="0043059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/>
                <w:kern w:val="0"/>
                <w:sz w:val="24"/>
                <w:szCs w:val="24"/>
              </w:rPr>
              <w:t>ICT</w:t>
            </w: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的教育教学</w:t>
            </w:r>
          </w:p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实践应用</w:t>
            </w:r>
          </w:p>
        </w:tc>
        <w:tc>
          <w:tcPr>
            <w:tcW w:w="6023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围绕ICT（以互联网广泛应用为标志的信息通信技术，Information Communication Technology）的教育教学应用开设的课程</w:t>
            </w:r>
            <w:r w:rsidR="00EB643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，培养教师的信息意识和数字化生存能力，</w:t>
            </w:r>
            <w:r w:rsidR="00AB46C3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使教师能够</w:t>
            </w:r>
            <w:r w:rsidR="00EB643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主动适应"互联网"等社会信息化趋势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。包括：常用软件的学科应用；教育教学类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APP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的应用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;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信息技术的教育教学管理应用，如学习情况统计、分类比较、人员遴选等。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《交互白板环境下课件设计制作与运用技巧》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《图形计数器在高中数学教学中的应用》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《OFFICE在教育教学中的高级应用》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《基于计算机技术的地理图表绘制技法》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《英语学习APP的介绍和使用》</w:t>
            </w:r>
          </w:p>
          <w:p w:rsidR="00E8232B" w:rsidRPr="000236C6" w:rsidRDefault="00E8232B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 w:rsidR="00430594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基于DISlab系统的中学物理实验的设计与开发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学习评价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基于学生的学习、认知表现，为帮助教师有效诊断与评价学生现状而开设的课程。包括：评价工具的使用；作业设计；试卷编制与测试分析；课堂观察与课堂评价；学生学业评价；学生综合素质评定等。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《初中数学解题典型错误解析》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《初中信息科技学科命题及考试指导》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《小学语文学业评价及质量检测》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《思想政治学科的学习评价》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《英语语言测试：如何设计词汇测试》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《新高考方案下高中物理学科的学习评价》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教育评价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有助于教师借助评价工具和手段提高教学反思能力、提升教师教育教学实践技能的课程。包括：教学诊断与改进；观课与评课；实践与反思。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《体育课说课、听课、评课》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《地理评课实例分析》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《思想品德学科观课评课》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《语言课堂中的教师语言评价：内容、类别、效果》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《高中物理实验课的观课评课》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校本课程开发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帮助教师了解校本课程的特点与开发要求，掌握基于学科拓展、学科交叉融合或学校特色的校本课程开发方法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与策略的课程。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《信息化环境下特色校本课程的设计与开发》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《金融与理财》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color w:val="FF0000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《基于本校特色的双语拓展课程建设——以***为例》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班级组织与管理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围绕班主任工作或针对学生团队建设</w:t>
            </w:r>
            <w:r w:rsidR="00E9546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提升教师教育组织管理能力的课程。包括：班级（团队）组织管理策略；班集体的建设；师生、家校沟通与合作；班级（团队）主题活动的组织和管理等。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《班主任与家长沟通的技巧》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《班级建设的理论与实务》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《少先队辅导员的工作方法与技能》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《家校合作的理论与实践》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000000" w:rsidRDefault="003F443B" w:rsidP="00D86C3D">
            <w:pPr>
              <w:adjustRightInd w:val="0"/>
              <w:snapToGrid w:val="0"/>
              <w:spacing w:before="156" w:after="156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  <w:pPrChange w:id="0" w:author="Gu" w:date="2016-12-06T11:58:00Z">
                <w:pPr>
                  <w:keepNext/>
                  <w:keepLines/>
                  <w:spacing w:beforeLines="50" w:afterLines="50" w:line="416" w:lineRule="auto"/>
                  <w:jc w:val="center"/>
                </w:pPr>
              </w:pPrChange>
            </w:pPr>
          </w:p>
        </w:tc>
        <w:tc>
          <w:tcPr>
            <w:tcW w:w="1896" w:type="dxa"/>
            <w:vAlign w:val="center"/>
          </w:tcPr>
          <w:p w:rsidR="00B67EC8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教育教学研究</w:t>
            </w:r>
          </w:p>
        </w:tc>
        <w:tc>
          <w:tcPr>
            <w:tcW w:w="6023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b/>
                <w:bCs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以提升教师教育教学实践智慧为核心，围绕教师教育教学实践中的真实问题，帮助教师了解教育科研的一般特征与规律，学会研制教育教学研究课题，进行教育行动研究，掌握论文、教育案例、教育叙事的撰写的课程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《德育课题研究的途径和方法》</w:t>
            </w:r>
          </w:p>
          <w:p w:rsidR="00B67EC8" w:rsidRPr="000236C6" w:rsidRDefault="00B67EC8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《英语教师行动研究》</w:t>
            </w:r>
          </w:p>
          <w:p w:rsidR="00B67EC8" w:rsidRPr="000236C6" w:rsidRDefault="00B67EC8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《高中数学有效课堂教学策略及案例分析》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《外语课堂中学生的情感焦虑问题研究》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《物理教学研究的基本方法》</w:t>
            </w:r>
          </w:p>
        </w:tc>
      </w:tr>
      <w:tr w:rsidR="008D58E9" w:rsidRPr="00B75533" w:rsidTr="000236C6">
        <w:tc>
          <w:tcPr>
            <w:tcW w:w="1367" w:type="dxa"/>
            <w:vMerge w:val="restart"/>
            <w:vAlign w:val="center"/>
          </w:tcPr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全</w:t>
            </w:r>
          </w:p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人</w:t>
            </w:r>
          </w:p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发</w:t>
            </w:r>
          </w:p>
          <w:p w:rsidR="008D58E9" w:rsidRPr="00B75533" w:rsidRDefault="008D58E9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展</w:t>
            </w:r>
          </w:p>
        </w:tc>
        <w:tc>
          <w:tcPr>
            <w:tcW w:w="1896" w:type="dxa"/>
            <w:vAlign w:val="center"/>
          </w:tcPr>
          <w:p w:rsidR="008D58E9" w:rsidRPr="00B75533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kern w:val="0"/>
                <w:sz w:val="24"/>
                <w:szCs w:val="24"/>
              </w:rPr>
              <w:t>科学与技术</w:t>
            </w:r>
          </w:p>
        </w:tc>
        <w:tc>
          <w:tcPr>
            <w:tcW w:w="6023" w:type="dxa"/>
            <w:vAlign w:val="center"/>
          </w:tcPr>
          <w:p w:rsidR="008D58E9" w:rsidRPr="000236C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正确地发现和理解科学、技术与社会之间的相互关系，培养科学精神和科学态度，提升技术意识和应用水平。包括科学和技术的基本知识技能、过程方法、价值观，用科学思维、创新思维解决日常问题，自然科学的新发现、技术发展的新动向等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《思维导图高效学习与系统思维》</w:t>
            </w:r>
          </w:p>
          <w:p w:rsidR="008D58E9" w:rsidRPr="000236C6" w:rsidRDefault="008D58E9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《视觉素养ABC》</w:t>
            </w:r>
          </w:p>
          <w:p w:rsidR="008D58E9" w:rsidRPr="000236C6" w:rsidRDefault="008D58E9" w:rsidP="000236C6">
            <w:pPr>
              <w:widowControl/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《简单调查问卷的制作、投放与分析》</w:t>
            </w:r>
          </w:p>
        </w:tc>
      </w:tr>
      <w:tr w:rsidR="008D58E9" w:rsidRPr="00B75533" w:rsidTr="000236C6">
        <w:trPr>
          <w:trHeight w:val="1073"/>
        </w:trPr>
        <w:tc>
          <w:tcPr>
            <w:tcW w:w="1367" w:type="dxa"/>
            <w:vMerge/>
            <w:vAlign w:val="center"/>
          </w:tcPr>
          <w:p w:rsidR="00227846" w:rsidRDefault="00227846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  <w:pPrChange w:id="1" w:author="Gu" w:date="2016-12-06T11:58:00Z">
                <w:pPr>
                  <w:keepNext/>
                  <w:keepLines/>
                  <w:spacing w:beforeLines="50" w:afterLines="50" w:line="416" w:lineRule="auto"/>
                  <w:jc w:val="center"/>
                </w:pPr>
              </w:pPrChange>
            </w:pPr>
          </w:p>
        </w:tc>
        <w:tc>
          <w:tcPr>
            <w:tcW w:w="1896" w:type="dxa"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人文与艺术</w:t>
            </w:r>
          </w:p>
        </w:tc>
        <w:tc>
          <w:tcPr>
            <w:tcW w:w="6023" w:type="dxa"/>
            <w:vAlign w:val="center"/>
          </w:tcPr>
          <w:p w:rsidR="008D58E9" w:rsidRPr="000236C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提升教师对文化艺术的感受力、理解力、鉴赏力、表现力和创造力的课程。包括哲学、历史、政治、文学、音乐、美术等内容。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widowControl/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《古诗词中的爱情、亲情与友情》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《生活中的经济学》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《篆刻艺术实践研究》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《中国古代山水画欣赏与实践》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《书法艺术的欣赏与实践》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《丝网花制作》</w:t>
            </w:r>
          </w:p>
        </w:tc>
      </w:tr>
      <w:tr w:rsidR="008D58E9" w:rsidRPr="00B75533" w:rsidTr="000236C6">
        <w:trPr>
          <w:trHeight w:val="1072"/>
        </w:trPr>
        <w:tc>
          <w:tcPr>
            <w:tcW w:w="1367" w:type="dxa"/>
            <w:vMerge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健康与生活</w:t>
            </w:r>
          </w:p>
        </w:tc>
        <w:tc>
          <w:tcPr>
            <w:tcW w:w="6023" w:type="dxa"/>
            <w:vAlign w:val="center"/>
          </w:tcPr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有益于教师生理和心理健康、提高教师生活质量、促进教师和谐发展的课程。包括身体保健、心理健康、人际沟通、家政理财等各种内容。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《中学班主任心理辅导》</w:t>
            </w:r>
          </w:p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《教师积极情绪的维护》</w:t>
            </w:r>
          </w:p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《瑜伽入门》</w:t>
            </w:r>
          </w:p>
        </w:tc>
      </w:tr>
    </w:tbl>
    <w:p w:rsidR="008243AE" w:rsidRDefault="008243AE" w:rsidP="000236C6">
      <w:pPr>
        <w:adjustRightInd w:val="0"/>
        <w:snapToGrid w:val="0"/>
        <w:rPr>
          <w:rFonts w:ascii="黑体" w:eastAsia="黑体" w:hAnsi="黑体" w:cs="黑体" w:hint="eastAsia"/>
          <w:b/>
          <w:bCs/>
          <w:sz w:val="28"/>
          <w:szCs w:val="28"/>
        </w:rPr>
      </w:pPr>
    </w:p>
    <w:p w:rsidR="008243AE" w:rsidRDefault="008243AE" w:rsidP="000236C6">
      <w:pPr>
        <w:adjustRightInd w:val="0"/>
        <w:snapToGrid w:val="0"/>
        <w:rPr>
          <w:rFonts w:ascii="黑体" w:eastAsia="黑体" w:cs="黑体" w:hint="eastAsia"/>
          <w:b/>
          <w:bCs/>
          <w:sz w:val="32"/>
          <w:szCs w:val="32"/>
        </w:rPr>
      </w:pPr>
    </w:p>
    <w:p w:rsidR="00FD4536" w:rsidRDefault="00FD4536" w:rsidP="000236C6">
      <w:pPr>
        <w:adjustRightInd w:val="0"/>
        <w:snapToGrid w:val="0"/>
      </w:pPr>
      <w:r w:rsidRPr="00000D24">
        <w:rPr>
          <w:rFonts w:ascii="黑体" w:eastAsia="黑体" w:cs="黑体" w:hint="eastAsia"/>
          <w:b/>
          <w:bCs/>
          <w:sz w:val="32"/>
          <w:szCs w:val="32"/>
        </w:rPr>
        <w:t>三、</w:t>
      </w:r>
      <w:r w:rsidR="00D86C3D">
        <w:rPr>
          <w:rFonts w:ascii="黑体" w:eastAsia="黑体" w:cs="黑体" w:hint="eastAsia"/>
          <w:b/>
          <w:bCs/>
          <w:sz w:val="32"/>
          <w:szCs w:val="32"/>
        </w:rPr>
        <w:t>幼儿园</w:t>
      </w:r>
      <w:r w:rsidRPr="00000D24">
        <w:rPr>
          <w:rFonts w:ascii="黑体" w:eastAsia="黑体" w:cs="黑体" w:hint="eastAsia"/>
          <w:b/>
          <w:bCs/>
          <w:sz w:val="32"/>
          <w:szCs w:val="32"/>
        </w:rPr>
        <w:t>教师继续教育选修课程指南</w:t>
      </w:r>
    </w:p>
    <w:tbl>
      <w:tblPr>
        <w:tblW w:w="14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1417"/>
        <w:gridCol w:w="6639"/>
        <w:gridCol w:w="4970"/>
      </w:tblGrid>
      <w:tr w:rsidR="00FD4536" w:rsidRPr="004C53F1" w:rsidTr="008243AE">
        <w:trPr>
          <w:trHeight w:val="599"/>
          <w:tblHeader/>
          <w:jc w:val="center"/>
        </w:trPr>
        <w:tc>
          <w:tcPr>
            <w:tcW w:w="1384" w:type="dxa"/>
            <w:vAlign w:val="center"/>
          </w:tcPr>
          <w:p w:rsidR="00FD4536" w:rsidRPr="000855A7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课程维度</w:t>
            </w:r>
          </w:p>
        </w:tc>
        <w:tc>
          <w:tcPr>
            <w:tcW w:w="1417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课程模块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内容说明</w:t>
            </w:r>
          </w:p>
        </w:tc>
        <w:tc>
          <w:tcPr>
            <w:tcW w:w="4970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课程举例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理</w:t>
            </w:r>
          </w:p>
          <w:p w:rsidR="00FD4536" w:rsidRPr="00B207BB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解</w:t>
            </w: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职业认同与生涯发展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围绕对幼儿园教师职业的理解、认同、规划与发展所展开的课程。包括幼儿园教师的职业道德与信念，职业要求与规范，自我诊断与职业生涯发展的规划及途径方法等。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《幼儿园名教师的成长故事》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《教育部〈幼儿园教师专业标准〉（试行）解析式共读》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《幼儿园教师必须知道的法律法规》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《如何制定个人专业发展规划》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《XX教育专著共读与讨论》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儿童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教育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理论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围绕教师对幼儿及其发展的认知、对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教育教学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的理解所展开的课程。包括幼儿身心发展规律与个体差异，领域学习与发展的关键经验与教学知识，对现实有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启示意义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的课程与教学实践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模式或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理论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流派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，有特殊需要幼儿的鉴别与教育等内容。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心理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故事与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分析》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《5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-6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岁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幼儿数学认知能力发展特点及活动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建议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注意力缺陷障碍的识别与应对》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《方案教学（或“瑞吉欧”等）的理论与实践》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《华德福（或蒙台梭利等）教育理念的启示》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学科热点与动态前沿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围绕学科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发展中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新的研究动向与成果、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热点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领域与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话题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所展开的具有一定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时效性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或地域性的课程。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《走近“学习故事”——来自新西兰幼教课程改革的启示》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《上海学前教育课程改革动向》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《幼儿科学领域“核心经验”的发展与支持策略》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实</w:t>
            </w:r>
          </w:p>
          <w:p w:rsidR="00FD4536" w:rsidRPr="00B207BB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践</w:t>
            </w: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一日活动组织与实施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围绕教师在一日活动中设计、组织各类教育教学活动所需要的知识技能、方法策略所开设的课程，蕴含科学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、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现代的教育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教学理念。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包括一日活动的安排与统筹；随机教育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；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各类教育教学活动的设计、组织实施与反思；环境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创设；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班级管理等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内容。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《半日活动计划的制定》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《&lt;生活活动&gt;教材解读》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《室内运动的创意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设计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《幼儿园玩沙玩水活动的组织》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《&lt;学习活动&gt;素材点解析》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《主题活动的设计与实施——以XX系列主题为例》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《优秀个别化学习材料解析》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《&lt;指南&gt;背景下幼儿园美术活动的理念与实践》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《班级主题环境创设——以XX主题为例》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《小班角色游戏的材料提供与支持》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《“随手可玩”的幼儿园小游戏》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《图书室/植物角的创设与管理》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《“体现幼儿自主”的班级环境创设》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《节日活动（或运动会等幼儿园其他综合性活动）的设计与组织》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《“告状”行为的分析与处理智慧》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保育保健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在“保教结合”、“医教结合”的理念下，从幼儿园教师的角度，围绕幼儿保健知识、幼儿园安全卫生工作等内容所开设的课程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《一日活动中的保教结合操作要点》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《儿童急诊救助操作实务》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《幼儿常见病的预防及护理》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《幼儿营养与平衡膳食》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家园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/</w:t>
            </w: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社区共育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针对教师在幼儿园与家庭、社区合作中需要的理念、方法、策略等所开设的课程。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《新小班家长工作指南》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《大班“幼小衔接”家长指导》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《如何运用现代信息手段进行家园沟通》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《幼儿园-社区合作活动创意设计》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《家长工作“危机事件”处理》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幼儿园教育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br/>
            </w: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评价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针对教师在进行幼儿发展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观察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评价与幼儿园课程评价，以及接受教师、园所等相关评价的过程中，所需要了解的理念、知识、工具、方法等所开设的课程。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《幼儿游戏案例深度解析》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《“档案袋评价”（或其他评价）方法介绍与实例分析》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《&lt;上海市幼儿园保教质量评价指南&gt;（幼儿评价部分）解析式共读》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《基于幼儿观察的集体教学活动改进》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经验提升与研究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针对幼儿园进行实践梳理提升或开展教育教学研究所需的理念、工具、方法等所开设的课程。包括教育科研方法；研究性文本写作等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内容，建议以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剖析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研究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实例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或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进行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研究实践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形式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展开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《幼儿园教师如何开展行动研究》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《教案与反思的撰写》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《幼儿观察案例写作指导》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《小论文写作交流与指导》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《关于XX（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一个“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迷你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”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研究话题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）的协作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研究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全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人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发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展</w:t>
            </w:r>
          </w:p>
          <w:p w:rsidR="00FD4536" w:rsidRPr="00DB5E7C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与技术</w:t>
            </w:r>
          </w:p>
        </w:tc>
        <w:tc>
          <w:tcPr>
            <w:tcW w:w="6639" w:type="dxa"/>
            <w:vAlign w:val="center"/>
          </w:tcPr>
          <w:p w:rsidR="00FD4536" w:rsidRPr="007C7C35" w:rsidRDefault="00FD4536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正确地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发现和理解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科学、技术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与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社会之间的相互关系，培养科学精神和科学态度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，提升技术意识和应用水平。包括科学和技术的基本知识技能、过程方法、价值观，用科学思维、创新思维解决日常问题，自然科学的新发现、技术发展的新动向等内容。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《家庭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科学小实验》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幼儿园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教师工作中好用的软件帮手》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人文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与艺术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408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提升教师对文化艺术的感受力、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理解力、鉴赏力、表现力和创造力的课程。包括哲学、历史、政治、文学、音乐、美术等内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《如何讲好一个故事》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毕加索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（或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其他艺术家）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作品鉴赏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《让孩子和乐器交朋友——常见乐器介绍与活动延伸》</w:t>
            </w:r>
          </w:p>
          <w:p w:rsidR="00FD453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《传统节日与民间传说》</w:t>
            </w:r>
          </w:p>
          <w:p w:rsidR="00FD453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《教育题材电影赏析》</w:t>
            </w:r>
          </w:p>
          <w:p w:rsidR="00FD4536" w:rsidRPr="00585585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《中外经典名著赏析》</w:t>
            </w:r>
          </w:p>
        </w:tc>
      </w:tr>
      <w:tr w:rsidR="00FD4536" w:rsidRPr="00FA6A79" w:rsidTr="008243AE">
        <w:trPr>
          <w:trHeight w:val="410"/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健康与生活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有益于教师生理和心理健康、提高教师生活质量、促进教师和谐发展的课程。包括身体保健、心理健康、人际沟通、家政理财等各种内容。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《幼儿园教师着装与礼仪》</w:t>
            </w:r>
          </w:p>
          <w:p w:rsidR="00FD4536" w:rsidRPr="00040898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《预见未知的自己——教师如何认识自我》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《“正面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管教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”的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方法与训练</w:t>
            </w:r>
            <w:bookmarkStart w:id="2" w:name="_GoBack"/>
            <w:bookmarkEnd w:id="2"/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</w:tc>
      </w:tr>
    </w:tbl>
    <w:p w:rsidR="001E21E1" w:rsidRPr="001E21E1" w:rsidRDefault="00FD4536" w:rsidP="000236C6">
      <w:pPr>
        <w:adjustRightInd w:val="0"/>
        <w:snapToGrid w:val="0"/>
        <w:jc w:val="left"/>
        <w:rPr>
          <w:rFonts w:ascii="黑体" w:eastAsia="黑体" w:hAnsi="黑体" w:cs="黑体"/>
          <w:b/>
          <w:bCs/>
          <w:sz w:val="28"/>
          <w:szCs w:val="28"/>
        </w:rPr>
      </w:pPr>
      <w:r w:rsidRPr="00C13980">
        <w:rPr>
          <w:rFonts w:ascii="楷体" w:eastAsia="楷体" w:hAnsi="楷体" w:cs="楷体" w:hint="eastAsia"/>
          <w:kern w:val="0"/>
          <w:sz w:val="24"/>
          <w:szCs w:val="24"/>
        </w:rPr>
        <w:t>*可参考中小学相应的课程内容，鼓励结合学科特点，开设与幼儿园教师职业相关度较高的课程。</w:t>
      </w:r>
    </w:p>
    <w:sectPr w:rsidR="001E21E1" w:rsidRPr="001E21E1" w:rsidSect="008B08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43B" w:rsidRDefault="003F443B" w:rsidP="001662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F443B" w:rsidRDefault="003F443B" w:rsidP="001662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834" w:rsidRDefault="00227846" w:rsidP="0018075D">
    <w:pPr>
      <w:pStyle w:val="a4"/>
      <w:framePr w:wrap="auto" w:vAnchor="text" w:hAnchor="margin" w:xAlign="right" w:y="1"/>
      <w:rPr>
        <w:rStyle w:val="a7"/>
        <w:rFonts w:cs="Times New Roman"/>
      </w:rPr>
    </w:pPr>
    <w:r>
      <w:rPr>
        <w:rStyle w:val="a7"/>
      </w:rPr>
      <w:fldChar w:fldCharType="begin"/>
    </w:r>
    <w:r w:rsidR="00C5183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6C3D">
      <w:rPr>
        <w:rStyle w:val="a7"/>
        <w:noProof/>
      </w:rPr>
      <w:t>5</w:t>
    </w:r>
    <w:r>
      <w:rPr>
        <w:rStyle w:val="a7"/>
      </w:rPr>
      <w:fldChar w:fldCharType="end"/>
    </w:r>
  </w:p>
  <w:p w:rsidR="00C51834" w:rsidRDefault="00C51834" w:rsidP="006B3719">
    <w:pPr>
      <w:pStyle w:val="a4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43B" w:rsidRDefault="003F443B" w:rsidP="001662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F443B" w:rsidRDefault="003F443B" w:rsidP="001662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0C12"/>
    <w:multiLevelType w:val="hybridMultilevel"/>
    <w:tmpl w:val="680289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C70484C"/>
    <w:multiLevelType w:val="hybridMultilevel"/>
    <w:tmpl w:val="95347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2F50AC"/>
    <w:multiLevelType w:val="hybridMultilevel"/>
    <w:tmpl w:val="802229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9D572E5"/>
    <w:multiLevelType w:val="hybridMultilevel"/>
    <w:tmpl w:val="1A800F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865374C"/>
    <w:multiLevelType w:val="hybridMultilevel"/>
    <w:tmpl w:val="2C0E8D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B286EA0"/>
    <w:multiLevelType w:val="hybridMultilevel"/>
    <w:tmpl w:val="9F7CE910"/>
    <w:lvl w:ilvl="0" w:tplc="C358BB34">
      <w:start w:val="1"/>
      <w:numFmt w:val="bullet"/>
      <w:lvlText w:val=""/>
      <w:lvlJc w:val="left"/>
      <w:pPr>
        <w:tabs>
          <w:tab w:val="num" w:pos="0"/>
        </w:tabs>
      </w:pPr>
      <w:rPr>
        <w:rFonts w:ascii="Wingdings 2" w:hAnsi="Wingdings 2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D6F"/>
    <w:rsid w:val="00000D24"/>
    <w:rsid w:val="00007090"/>
    <w:rsid w:val="00014350"/>
    <w:rsid w:val="00016994"/>
    <w:rsid w:val="000236C6"/>
    <w:rsid w:val="00027113"/>
    <w:rsid w:val="00040898"/>
    <w:rsid w:val="000505F4"/>
    <w:rsid w:val="00051225"/>
    <w:rsid w:val="000533B8"/>
    <w:rsid w:val="00055C2C"/>
    <w:rsid w:val="00055FD4"/>
    <w:rsid w:val="00063538"/>
    <w:rsid w:val="00067E54"/>
    <w:rsid w:val="000855A7"/>
    <w:rsid w:val="00096E01"/>
    <w:rsid w:val="000976E9"/>
    <w:rsid w:val="000A35E7"/>
    <w:rsid w:val="000A40D8"/>
    <w:rsid w:val="000B242A"/>
    <w:rsid w:val="000B332D"/>
    <w:rsid w:val="000B4AAF"/>
    <w:rsid w:val="000C73A9"/>
    <w:rsid w:val="000D1A6D"/>
    <w:rsid w:val="000D2BF3"/>
    <w:rsid w:val="000D57A5"/>
    <w:rsid w:val="000E5F2C"/>
    <w:rsid w:val="000F0396"/>
    <w:rsid w:val="000F453B"/>
    <w:rsid w:val="000F483D"/>
    <w:rsid w:val="000F5596"/>
    <w:rsid w:val="001203E3"/>
    <w:rsid w:val="00126136"/>
    <w:rsid w:val="001264CD"/>
    <w:rsid w:val="00131C1B"/>
    <w:rsid w:val="00133D78"/>
    <w:rsid w:val="00134A7B"/>
    <w:rsid w:val="00143483"/>
    <w:rsid w:val="00146A6A"/>
    <w:rsid w:val="00151E27"/>
    <w:rsid w:val="00153E32"/>
    <w:rsid w:val="0015438D"/>
    <w:rsid w:val="0015487B"/>
    <w:rsid w:val="0016623B"/>
    <w:rsid w:val="0018075D"/>
    <w:rsid w:val="00186E3B"/>
    <w:rsid w:val="00194B58"/>
    <w:rsid w:val="00194E0F"/>
    <w:rsid w:val="00197CEF"/>
    <w:rsid w:val="001B32D5"/>
    <w:rsid w:val="001B688B"/>
    <w:rsid w:val="001D50D7"/>
    <w:rsid w:val="001E21E1"/>
    <w:rsid w:val="001E3AB7"/>
    <w:rsid w:val="001E7417"/>
    <w:rsid w:val="001F753E"/>
    <w:rsid w:val="00210075"/>
    <w:rsid w:val="002206ED"/>
    <w:rsid w:val="00226EF5"/>
    <w:rsid w:val="00227846"/>
    <w:rsid w:val="00232040"/>
    <w:rsid w:val="002366C8"/>
    <w:rsid w:val="002445D8"/>
    <w:rsid w:val="0024680D"/>
    <w:rsid w:val="002524B1"/>
    <w:rsid w:val="002527DB"/>
    <w:rsid w:val="002545F1"/>
    <w:rsid w:val="00256A3E"/>
    <w:rsid w:val="002631D3"/>
    <w:rsid w:val="002655AA"/>
    <w:rsid w:val="002737E6"/>
    <w:rsid w:val="0027440E"/>
    <w:rsid w:val="00275F81"/>
    <w:rsid w:val="0028045A"/>
    <w:rsid w:val="00294D32"/>
    <w:rsid w:val="002A3BFB"/>
    <w:rsid w:val="002B3DB4"/>
    <w:rsid w:val="002B681F"/>
    <w:rsid w:val="002C3176"/>
    <w:rsid w:val="002D453E"/>
    <w:rsid w:val="002E3025"/>
    <w:rsid w:val="00300E7E"/>
    <w:rsid w:val="00304329"/>
    <w:rsid w:val="0031166B"/>
    <w:rsid w:val="00316075"/>
    <w:rsid w:val="00324230"/>
    <w:rsid w:val="00327C83"/>
    <w:rsid w:val="003341AF"/>
    <w:rsid w:val="003400E7"/>
    <w:rsid w:val="00341181"/>
    <w:rsid w:val="003524C0"/>
    <w:rsid w:val="00362448"/>
    <w:rsid w:val="0036715E"/>
    <w:rsid w:val="003673B8"/>
    <w:rsid w:val="00380908"/>
    <w:rsid w:val="00386D6F"/>
    <w:rsid w:val="00392BAB"/>
    <w:rsid w:val="0039490D"/>
    <w:rsid w:val="003B2A20"/>
    <w:rsid w:val="003B5F50"/>
    <w:rsid w:val="003C40EC"/>
    <w:rsid w:val="003D2A19"/>
    <w:rsid w:val="003E1E7E"/>
    <w:rsid w:val="003F443B"/>
    <w:rsid w:val="003F703F"/>
    <w:rsid w:val="0040173E"/>
    <w:rsid w:val="00410718"/>
    <w:rsid w:val="0042480D"/>
    <w:rsid w:val="00427C27"/>
    <w:rsid w:val="00430594"/>
    <w:rsid w:val="00430C00"/>
    <w:rsid w:val="0043331C"/>
    <w:rsid w:val="00437C1F"/>
    <w:rsid w:val="00451A0C"/>
    <w:rsid w:val="00452077"/>
    <w:rsid w:val="004717F9"/>
    <w:rsid w:val="00473139"/>
    <w:rsid w:val="004731E5"/>
    <w:rsid w:val="00481570"/>
    <w:rsid w:val="00482F49"/>
    <w:rsid w:val="004951CC"/>
    <w:rsid w:val="00497A4A"/>
    <w:rsid w:val="004A5F66"/>
    <w:rsid w:val="004A799A"/>
    <w:rsid w:val="004B42EE"/>
    <w:rsid w:val="004B4554"/>
    <w:rsid w:val="004C6F99"/>
    <w:rsid w:val="004C758E"/>
    <w:rsid w:val="004C7AF5"/>
    <w:rsid w:val="004D13F7"/>
    <w:rsid w:val="004E1434"/>
    <w:rsid w:val="004E28D1"/>
    <w:rsid w:val="004E68D1"/>
    <w:rsid w:val="004F2F13"/>
    <w:rsid w:val="004F46FE"/>
    <w:rsid w:val="00500B15"/>
    <w:rsid w:val="00506E69"/>
    <w:rsid w:val="005118E9"/>
    <w:rsid w:val="0051233B"/>
    <w:rsid w:val="00514882"/>
    <w:rsid w:val="00515FF2"/>
    <w:rsid w:val="005163AE"/>
    <w:rsid w:val="00517D94"/>
    <w:rsid w:val="00523FC7"/>
    <w:rsid w:val="00527D85"/>
    <w:rsid w:val="005339D1"/>
    <w:rsid w:val="00536939"/>
    <w:rsid w:val="00543FB4"/>
    <w:rsid w:val="00547127"/>
    <w:rsid w:val="00553991"/>
    <w:rsid w:val="00555309"/>
    <w:rsid w:val="005657EE"/>
    <w:rsid w:val="005704A3"/>
    <w:rsid w:val="00572246"/>
    <w:rsid w:val="00574F3F"/>
    <w:rsid w:val="00580DB6"/>
    <w:rsid w:val="00583E04"/>
    <w:rsid w:val="00585585"/>
    <w:rsid w:val="0058610F"/>
    <w:rsid w:val="005A0535"/>
    <w:rsid w:val="005A4193"/>
    <w:rsid w:val="005B0A72"/>
    <w:rsid w:val="005B3F64"/>
    <w:rsid w:val="005C41C9"/>
    <w:rsid w:val="005D64E9"/>
    <w:rsid w:val="005F07DF"/>
    <w:rsid w:val="005F4DB8"/>
    <w:rsid w:val="00603CAE"/>
    <w:rsid w:val="0061777C"/>
    <w:rsid w:val="00622C8C"/>
    <w:rsid w:val="00635555"/>
    <w:rsid w:val="00642B56"/>
    <w:rsid w:val="006516FE"/>
    <w:rsid w:val="0065551D"/>
    <w:rsid w:val="00655FFF"/>
    <w:rsid w:val="00656548"/>
    <w:rsid w:val="00661290"/>
    <w:rsid w:val="006617F5"/>
    <w:rsid w:val="00670DA0"/>
    <w:rsid w:val="0067340B"/>
    <w:rsid w:val="00680E8D"/>
    <w:rsid w:val="006925DD"/>
    <w:rsid w:val="006948A8"/>
    <w:rsid w:val="00695EF0"/>
    <w:rsid w:val="00696468"/>
    <w:rsid w:val="006B3719"/>
    <w:rsid w:val="006E2F20"/>
    <w:rsid w:val="006F1BD1"/>
    <w:rsid w:val="006F518C"/>
    <w:rsid w:val="007003C8"/>
    <w:rsid w:val="00702FBC"/>
    <w:rsid w:val="00703884"/>
    <w:rsid w:val="00711487"/>
    <w:rsid w:val="00713077"/>
    <w:rsid w:val="0071379D"/>
    <w:rsid w:val="007149EE"/>
    <w:rsid w:val="00731CB9"/>
    <w:rsid w:val="00731E01"/>
    <w:rsid w:val="007451E5"/>
    <w:rsid w:val="00747B11"/>
    <w:rsid w:val="007516CE"/>
    <w:rsid w:val="007626DE"/>
    <w:rsid w:val="00764973"/>
    <w:rsid w:val="00797C93"/>
    <w:rsid w:val="007B0C03"/>
    <w:rsid w:val="007B5870"/>
    <w:rsid w:val="007B61F2"/>
    <w:rsid w:val="007B6850"/>
    <w:rsid w:val="007C22FD"/>
    <w:rsid w:val="007C3B9F"/>
    <w:rsid w:val="007E1092"/>
    <w:rsid w:val="007E4EC9"/>
    <w:rsid w:val="007F435B"/>
    <w:rsid w:val="00802EAC"/>
    <w:rsid w:val="00820598"/>
    <w:rsid w:val="00822131"/>
    <w:rsid w:val="0082275A"/>
    <w:rsid w:val="008243AE"/>
    <w:rsid w:val="00826D20"/>
    <w:rsid w:val="00830EDD"/>
    <w:rsid w:val="00836E80"/>
    <w:rsid w:val="008374A9"/>
    <w:rsid w:val="00843419"/>
    <w:rsid w:val="00844B0D"/>
    <w:rsid w:val="00847988"/>
    <w:rsid w:val="008548C6"/>
    <w:rsid w:val="008616BB"/>
    <w:rsid w:val="00870E5F"/>
    <w:rsid w:val="008771BF"/>
    <w:rsid w:val="00880991"/>
    <w:rsid w:val="00882CE2"/>
    <w:rsid w:val="00883791"/>
    <w:rsid w:val="008861D7"/>
    <w:rsid w:val="008912E0"/>
    <w:rsid w:val="00891762"/>
    <w:rsid w:val="008A581D"/>
    <w:rsid w:val="008B08A6"/>
    <w:rsid w:val="008C1FD5"/>
    <w:rsid w:val="008C3BB4"/>
    <w:rsid w:val="008C6A16"/>
    <w:rsid w:val="008D159E"/>
    <w:rsid w:val="008D58E9"/>
    <w:rsid w:val="008D78C5"/>
    <w:rsid w:val="008F61D6"/>
    <w:rsid w:val="00917C8B"/>
    <w:rsid w:val="0092457B"/>
    <w:rsid w:val="0092774F"/>
    <w:rsid w:val="00927F75"/>
    <w:rsid w:val="00952794"/>
    <w:rsid w:val="009574A5"/>
    <w:rsid w:val="00961484"/>
    <w:rsid w:val="00963BB2"/>
    <w:rsid w:val="009658C7"/>
    <w:rsid w:val="00970213"/>
    <w:rsid w:val="00970763"/>
    <w:rsid w:val="0097241D"/>
    <w:rsid w:val="00995071"/>
    <w:rsid w:val="009A6878"/>
    <w:rsid w:val="009B10D7"/>
    <w:rsid w:val="009B7716"/>
    <w:rsid w:val="009C5181"/>
    <w:rsid w:val="009D2710"/>
    <w:rsid w:val="009E2FB9"/>
    <w:rsid w:val="009F29D6"/>
    <w:rsid w:val="00A0152C"/>
    <w:rsid w:val="00A03F8F"/>
    <w:rsid w:val="00A05430"/>
    <w:rsid w:val="00A15EB5"/>
    <w:rsid w:val="00A2069E"/>
    <w:rsid w:val="00A2141C"/>
    <w:rsid w:val="00A235C0"/>
    <w:rsid w:val="00A32B5F"/>
    <w:rsid w:val="00A44C56"/>
    <w:rsid w:val="00A535C4"/>
    <w:rsid w:val="00A5390E"/>
    <w:rsid w:val="00A70D8A"/>
    <w:rsid w:val="00A721B2"/>
    <w:rsid w:val="00A76709"/>
    <w:rsid w:val="00A8034E"/>
    <w:rsid w:val="00A83CAD"/>
    <w:rsid w:val="00A93B95"/>
    <w:rsid w:val="00A94B5D"/>
    <w:rsid w:val="00AB1730"/>
    <w:rsid w:val="00AB46C3"/>
    <w:rsid w:val="00AB48BC"/>
    <w:rsid w:val="00AC656F"/>
    <w:rsid w:val="00AD19A2"/>
    <w:rsid w:val="00AD5038"/>
    <w:rsid w:val="00AD6AFD"/>
    <w:rsid w:val="00AD6D02"/>
    <w:rsid w:val="00AE4345"/>
    <w:rsid w:val="00AF5827"/>
    <w:rsid w:val="00AF66A6"/>
    <w:rsid w:val="00AF750F"/>
    <w:rsid w:val="00B049F4"/>
    <w:rsid w:val="00B207BB"/>
    <w:rsid w:val="00B234E2"/>
    <w:rsid w:val="00B31BFC"/>
    <w:rsid w:val="00B333E8"/>
    <w:rsid w:val="00B447B8"/>
    <w:rsid w:val="00B56560"/>
    <w:rsid w:val="00B57DC5"/>
    <w:rsid w:val="00B67EC8"/>
    <w:rsid w:val="00B71A9C"/>
    <w:rsid w:val="00B75533"/>
    <w:rsid w:val="00B80320"/>
    <w:rsid w:val="00B86C26"/>
    <w:rsid w:val="00B9309B"/>
    <w:rsid w:val="00BB3E22"/>
    <w:rsid w:val="00BB5233"/>
    <w:rsid w:val="00BC079D"/>
    <w:rsid w:val="00BC1DFA"/>
    <w:rsid w:val="00BC2C32"/>
    <w:rsid w:val="00BD2FDF"/>
    <w:rsid w:val="00BD3214"/>
    <w:rsid w:val="00BD3D7C"/>
    <w:rsid w:val="00BD3EE1"/>
    <w:rsid w:val="00BD60E8"/>
    <w:rsid w:val="00BD7030"/>
    <w:rsid w:val="00BE19BA"/>
    <w:rsid w:val="00BE65DE"/>
    <w:rsid w:val="00BF4DBA"/>
    <w:rsid w:val="00BF5C22"/>
    <w:rsid w:val="00BF7893"/>
    <w:rsid w:val="00C05E1C"/>
    <w:rsid w:val="00C07B5F"/>
    <w:rsid w:val="00C121BF"/>
    <w:rsid w:val="00C140B4"/>
    <w:rsid w:val="00C16E2E"/>
    <w:rsid w:val="00C207B8"/>
    <w:rsid w:val="00C20B2E"/>
    <w:rsid w:val="00C24739"/>
    <w:rsid w:val="00C26576"/>
    <w:rsid w:val="00C4265E"/>
    <w:rsid w:val="00C44918"/>
    <w:rsid w:val="00C47378"/>
    <w:rsid w:val="00C51834"/>
    <w:rsid w:val="00C57E33"/>
    <w:rsid w:val="00C61DB8"/>
    <w:rsid w:val="00C80FF6"/>
    <w:rsid w:val="00C81993"/>
    <w:rsid w:val="00C84578"/>
    <w:rsid w:val="00C86291"/>
    <w:rsid w:val="00C87432"/>
    <w:rsid w:val="00C93EF0"/>
    <w:rsid w:val="00CA1785"/>
    <w:rsid w:val="00CA2178"/>
    <w:rsid w:val="00CA320C"/>
    <w:rsid w:val="00CA4559"/>
    <w:rsid w:val="00CB3617"/>
    <w:rsid w:val="00CC1B6A"/>
    <w:rsid w:val="00CC22BB"/>
    <w:rsid w:val="00CD33CB"/>
    <w:rsid w:val="00CE3640"/>
    <w:rsid w:val="00CE4022"/>
    <w:rsid w:val="00CF7209"/>
    <w:rsid w:val="00D00211"/>
    <w:rsid w:val="00D030D5"/>
    <w:rsid w:val="00D035BE"/>
    <w:rsid w:val="00D122CB"/>
    <w:rsid w:val="00D1376E"/>
    <w:rsid w:val="00D2291E"/>
    <w:rsid w:val="00D33AB0"/>
    <w:rsid w:val="00D34560"/>
    <w:rsid w:val="00D37092"/>
    <w:rsid w:val="00D44685"/>
    <w:rsid w:val="00D53C81"/>
    <w:rsid w:val="00D54DD4"/>
    <w:rsid w:val="00D55D7D"/>
    <w:rsid w:val="00D664CD"/>
    <w:rsid w:val="00D67ECD"/>
    <w:rsid w:val="00D70DC5"/>
    <w:rsid w:val="00D77A1B"/>
    <w:rsid w:val="00D81659"/>
    <w:rsid w:val="00D85F1E"/>
    <w:rsid w:val="00D86C3D"/>
    <w:rsid w:val="00D91B0F"/>
    <w:rsid w:val="00DA1D70"/>
    <w:rsid w:val="00DA471D"/>
    <w:rsid w:val="00DB13F9"/>
    <w:rsid w:val="00DB2DDE"/>
    <w:rsid w:val="00DB3D7F"/>
    <w:rsid w:val="00DB6FBB"/>
    <w:rsid w:val="00DE023A"/>
    <w:rsid w:val="00DE3521"/>
    <w:rsid w:val="00DE5191"/>
    <w:rsid w:val="00DF0489"/>
    <w:rsid w:val="00E014F8"/>
    <w:rsid w:val="00E03A95"/>
    <w:rsid w:val="00E05FBE"/>
    <w:rsid w:val="00E146F2"/>
    <w:rsid w:val="00E15DE2"/>
    <w:rsid w:val="00E208FE"/>
    <w:rsid w:val="00E2117D"/>
    <w:rsid w:val="00E2485C"/>
    <w:rsid w:val="00E270C4"/>
    <w:rsid w:val="00E27A3C"/>
    <w:rsid w:val="00E50A56"/>
    <w:rsid w:val="00E6675C"/>
    <w:rsid w:val="00E70377"/>
    <w:rsid w:val="00E816C8"/>
    <w:rsid w:val="00E8232B"/>
    <w:rsid w:val="00E84B94"/>
    <w:rsid w:val="00E91EB5"/>
    <w:rsid w:val="00E95465"/>
    <w:rsid w:val="00EA0AFB"/>
    <w:rsid w:val="00EB3D56"/>
    <w:rsid w:val="00EB6435"/>
    <w:rsid w:val="00EC1D1B"/>
    <w:rsid w:val="00EC59A7"/>
    <w:rsid w:val="00ED1213"/>
    <w:rsid w:val="00ED4CFC"/>
    <w:rsid w:val="00ED58F5"/>
    <w:rsid w:val="00EE0900"/>
    <w:rsid w:val="00EE1228"/>
    <w:rsid w:val="00EE19C6"/>
    <w:rsid w:val="00EE42BF"/>
    <w:rsid w:val="00EF49B4"/>
    <w:rsid w:val="00F03343"/>
    <w:rsid w:val="00F0648A"/>
    <w:rsid w:val="00F07313"/>
    <w:rsid w:val="00F10F04"/>
    <w:rsid w:val="00F11304"/>
    <w:rsid w:val="00F12DCC"/>
    <w:rsid w:val="00F14BDD"/>
    <w:rsid w:val="00F20976"/>
    <w:rsid w:val="00F26769"/>
    <w:rsid w:val="00F27402"/>
    <w:rsid w:val="00F31CDB"/>
    <w:rsid w:val="00F401E8"/>
    <w:rsid w:val="00F4041D"/>
    <w:rsid w:val="00F45051"/>
    <w:rsid w:val="00F57571"/>
    <w:rsid w:val="00F629B1"/>
    <w:rsid w:val="00F63701"/>
    <w:rsid w:val="00F666EB"/>
    <w:rsid w:val="00F66CCC"/>
    <w:rsid w:val="00F67887"/>
    <w:rsid w:val="00F724E3"/>
    <w:rsid w:val="00F772CB"/>
    <w:rsid w:val="00F80E12"/>
    <w:rsid w:val="00F84EDE"/>
    <w:rsid w:val="00F92AE1"/>
    <w:rsid w:val="00F95457"/>
    <w:rsid w:val="00FA0D99"/>
    <w:rsid w:val="00FB0E15"/>
    <w:rsid w:val="00FB170B"/>
    <w:rsid w:val="00FB4AAE"/>
    <w:rsid w:val="00FC4192"/>
    <w:rsid w:val="00FC5684"/>
    <w:rsid w:val="00FD4536"/>
    <w:rsid w:val="00FE1629"/>
    <w:rsid w:val="00FE4D80"/>
    <w:rsid w:val="00FE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D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66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662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66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16623B"/>
    <w:rPr>
      <w:sz w:val="18"/>
      <w:szCs w:val="18"/>
    </w:rPr>
  </w:style>
  <w:style w:type="table" w:styleId="a5">
    <w:name w:val="Table Grid"/>
    <w:basedOn w:val="a1"/>
    <w:uiPriority w:val="99"/>
    <w:rsid w:val="00670DA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35555"/>
    <w:pPr>
      <w:ind w:firstLineChars="200" w:firstLine="420"/>
    </w:pPr>
  </w:style>
  <w:style w:type="character" w:styleId="a7">
    <w:name w:val="page number"/>
    <w:basedOn w:val="a0"/>
    <w:uiPriority w:val="99"/>
    <w:rsid w:val="006B3719"/>
  </w:style>
  <w:style w:type="paragraph" w:styleId="a8">
    <w:name w:val="Balloon Text"/>
    <w:basedOn w:val="a"/>
    <w:link w:val="Char1"/>
    <w:uiPriority w:val="99"/>
    <w:semiHidden/>
    <w:unhideWhenUsed/>
    <w:rsid w:val="000D57A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D57A5"/>
    <w:rPr>
      <w:rFonts w:cs="Calibr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8232B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E8232B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E8232B"/>
    <w:rPr>
      <w:rFonts w:cs="Calibri"/>
      <w:kern w:val="2"/>
      <w:sz w:val="21"/>
      <w:szCs w:val="21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E8232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E823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4D07D-E27B-479A-9F36-9562B0E3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718</Words>
  <Characters>4096</Characters>
  <Application>Microsoft Office Word</Application>
  <DocSecurity>0</DocSecurity>
  <Lines>34</Lines>
  <Paragraphs>9</Paragraphs>
  <ScaleCrop>false</ScaleCrop>
  <Company>Microsoft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浦东新区“十三五”教师继续教育选修课程指南</dc:title>
  <dc:creator>lenovo</dc:creator>
  <cp:lastModifiedBy>lenovo</cp:lastModifiedBy>
  <cp:revision>59</cp:revision>
  <cp:lastPrinted>2016-11-04T07:24:00Z</cp:lastPrinted>
  <dcterms:created xsi:type="dcterms:W3CDTF">2016-11-11T04:34:00Z</dcterms:created>
  <dcterms:modified xsi:type="dcterms:W3CDTF">2016-12-06T06:09:00Z</dcterms:modified>
</cp:coreProperties>
</file>