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2A000">
      <w:pPr>
        <w:spacing w:line="360" w:lineRule="auto"/>
        <w:jc w:val="both"/>
        <w:outlineLvl w:val="0"/>
        <w:rPr>
          <w:rFonts w:hint="eastAsia" w:ascii="Heiti SC Medium" w:hAnsi="Heiti SC Medium" w:eastAsia="Heiti SC Medium" w:cs="Heiti SC Medium"/>
          <w:b/>
          <w:bCs w:val="0"/>
          <w:color w:val="auto"/>
          <w:sz w:val="28"/>
          <w:szCs w:val="28"/>
          <w:lang w:val="en-US" w:eastAsia="zh-CN"/>
        </w:rPr>
      </w:pPr>
      <w:r>
        <w:rPr>
          <w:rFonts w:hint="eastAsia" w:ascii="Heiti SC Medium" w:hAnsi="Heiti SC Medium" w:eastAsia="Heiti SC Medium" w:cs="Heiti SC Medium"/>
          <w:b/>
          <w:bCs w:val="0"/>
          <w:color w:val="auto"/>
          <w:sz w:val="28"/>
          <w:szCs w:val="28"/>
          <w:lang w:val="en-US" w:eastAsia="zh-CN"/>
        </w:rPr>
        <w:t>附件1</w:t>
      </w:r>
    </w:p>
    <w:p w14:paraId="27B90437">
      <w:pPr>
        <w:spacing w:line="360" w:lineRule="auto"/>
        <w:jc w:val="center"/>
        <w:outlineLvl w:val="0"/>
        <w:rPr>
          <w:rFonts w:hint="eastAsia" w:ascii="Heiti SC Medium" w:hAnsi="Heiti SC Medium" w:eastAsia="Heiti SC Medium" w:cs="Heiti SC Medium"/>
          <w:b/>
          <w:bCs w:val="0"/>
          <w:color w:val="auto"/>
          <w:sz w:val="36"/>
          <w:szCs w:val="36"/>
        </w:rPr>
      </w:pPr>
      <w:r>
        <w:rPr>
          <w:rFonts w:hint="eastAsia" w:ascii="Heiti SC Medium" w:hAnsi="Heiti SC Medium" w:eastAsia="Heiti SC Medium" w:cs="Heiti SC Medium"/>
          <w:b/>
          <w:bCs w:val="0"/>
          <w:color w:val="auto"/>
          <w:sz w:val="36"/>
          <w:szCs w:val="36"/>
          <w:lang w:val="en-US" w:eastAsia="zh-CN"/>
        </w:rPr>
        <w:t>2026年</w:t>
      </w:r>
      <w:r>
        <w:rPr>
          <w:rFonts w:hint="eastAsia" w:ascii="Heiti SC Medium" w:hAnsi="Heiti SC Medium" w:eastAsia="Heiti SC Medium" w:cs="Heiti SC Medium"/>
          <w:b/>
          <w:bCs w:val="0"/>
          <w:color w:val="auto"/>
          <w:sz w:val="36"/>
          <w:szCs w:val="36"/>
        </w:rPr>
        <w:t>上海市</w:t>
      </w:r>
      <w:r>
        <w:rPr>
          <w:rFonts w:hint="eastAsia" w:ascii="Heiti SC Medium" w:hAnsi="Heiti SC Medium" w:eastAsia="Heiti SC Medium" w:cs="Heiti SC Medium"/>
          <w:b/>
          <w:bCs w:val="0"/>
          <w:color w:val="auto"/>
          <w:sz w:val="36"/>
          <w:szCs w:val="36"/>
          <w:lang w:eastAsia="zh-CN"/>
        </w:rPr>
        <w:t>中小学</w:t>
      </w:r>
      <w:r>
        <w:rPr>
          <w:rFonts w:hint="eastAsia" w:ascii="Heiti SC Medium" w:hAnsi="Heiti SC Medium" w:eastAsia="Heiti SC Medium" w:cs="Heiti SC Medium"/>
          <w:b/>
          <w:bCs w:val="0"/>
          <w:color w:val="auto"/>
          <w:sz w:val="36"/>
          <w:szCs w:val="36"/>
        </w:rPr>
        <w:t>青年教师</w:t>
      </w:r>
      <w:r>
        <w:rPr>
          <w:rFonts w:hint="eastAsia" w:ascii="Heiti SC Medium" w:hAnsi="Heiti SC Medium" w:eastAsia="Heiti SC Medium" w:cs="Heiti SC Medium"/>
          <w:b/>
          <w:bCs w:val="0"/>
          <w:color w:val="auto"/>
          <w:sz w:val="36"/>
          <w:szCs w:val="36"/>
          <w:lang w:eastAsia="zh-CN"/>
        </w:rPr>
        <w:t>专业成长研修</w:t>
      </w:r>
      <w:r>
        <w:rPr>
          <w:rFonts w:hint="eastAsia" w:ascii="Heiti SC Medium" w:hAnsi="Heiti SC Medium" w:eastAsia="Heiti SC Medium" w:cs="Heiti SC Medium"/>
          <w:b/>
          <w:bCs w:val="0"/>
          <w:color w:val="auto"/>
          <w:sz w:val="36"/>
          <w:szCs w:val="36"/>
        </w:rPr>
        <w:t>项目</w:t>
      </w:r>
    </w:p>
    <w:p w14:paraId="4ECA9CA4">
      <w:pPr>
        <w:spacing w:line="360" w:lineRule="auto"/>
        <w:jc w:val="center"/>
        <w:outlineLvl w:val="0"/>
        <w:rPr>
          <w:rFonts w:hint="eastAsia" w:ascii="Heiti SC Medium" w:hAnsi="Heiti SC Medium" w:eastAsia="Heiti SC Medium" w:cs="Heiti SC Medium"/>
          <w:b/>
          <w:bCs w:val="0"/>
          <w:color w:val="auto"/>
          <w:sz w:val="36"/>
          <w:szCs w:val="36"/>
        </w:rPr>
      </w:pPr>
      <w:r>
        <w:rPr>
          <w:rFonts w:hint="eastAsia" w:ascii="Heiti SC Medium" w:hAnsi="Heiti SC Medium" w:eastAsia="Heiti SC Medium" w:cs="Heiti SC Medium"/>
          <w:b/>
          <w:bCs w:val="0"/>
          <w:color w:val="auto"/>
          <w:sz w:val="36"/>
          <w:szCs w:val="36"/>
          <w:lang w:val="en-US" w:eastAsia="zh-CN"/>
        </w:rPr>
        <w:t>实施</w:t>
      </w:r>
      <w:r>
        <w:rPr>
          <w:rFonts w:hint="eastAsia" w:ascii="Heiti SC Medium" w:hAnsi="Heiti SC Medium" w:eastAsia="Heiti SC Medium" w:cs="Heiti SC Medium"/>
          <w:b/>
          <w:bCs w:val="0"/>
          <w:color w:val="auto"/>
          <w:sz w:val="36"/>
          <w:szCs w:val="36"/>
        </w:rPr>
        <w:t>方案</w:t>
      </w:r>
    </w:p>
    <w:p w14:paraId="604B14A3">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教师专业发展是提升教育质量的关键。上海市长期以来一直致力于基于校本研修探索和创新教师专业成长支持体系，各中小学已形成较为成熟的校本研修模式。为充分发挥校本研修的示范引领作用，增强优秀学科教师的专业辐射力，本项目将以学校为主体，依托优势学科教研组与真实教学场景，构建沉浸式研修共同体，重点提升青年教师在真实教学情境中的课程设计与实施能力。为此，</w:t>
      </w:r>
      <w:r>
        <w:rPr>
          <w:rFonts w:hint="eastAsia" w:ascii="仿宋_GB2312" w:hAnsi="仿宋_GB2312" w:eastAsia="仿宋_GB2312" w:cs="仿宋_GB2312"/>
          <w:color w:val="auto"/>
          <w:sz w:val="28"/>
          <w:szCs w:val="28"/>
        </w:rPr>
        <w:t>上海市教师教育学院启动“</w:t>
      </w:r>
      <w:r>
        <w:rPr>
          <w:rFonts w:hint="eastAsia" w:ascii="仿宋_GB2312" w:hAnsi="仿宋_GB2312" w:eastAsia="仿宋_GB2312" w:cs="仿宋_GB2312"/>
          <w:color w:val="auto"/>
          <w:sz w:val="28"/>
          <w:szCs w:val="28"/>
          <w:lang w:val="en-US" w:eastAsia="zh-CN"/>
        </w:rPr>
        <w:t>2026年</w:t>
      </w:r>
      <w:r>
        <w:rPr>
          <w:rFonts w:hint="eastAsia" w:ascii="仿宋_GB2312" w:hAnsi="仿宋_GB2312" w:eastAsia="仿宋_GB2312" w:cs="仿宋_GB2312"/>
          <w:color w:val="auto"/>
          <w:sz w:val="28"/>
          <w:szCs w:val="28"/>
        </w:rPr>
        <w:t>上海市</w:t>
      </w:r>
      <w:r>
        <w:rPr>
          <w:rFonts w:hint="eastAsia" w:ascii="仿宋_GB2312" w:hAnsi="仿宋_GB2312" w:eastAsia="仿宋_GB2312" w:cs="仿宋_GB2312"/>
          <w:color w:val="auto"/>
          <w:sz w:val="28"/>
          <w:szCs w:val="28"/>
          <w:lang w:eastAsia="zh-CN"/>
        </w:rPr>
        <w:t>中小学</w:t>
      </w:r>
      <w:r>
        <w:rPr>
          <w:rFonts w:hint="eastAsia" w:ascii="仿宋_GB2312" w:hAnsi="仿宋_GB2312" w:eastAsia="仿宋_GB2312" w:cs="仿宋_GB2312"/>
          <w:color w:val="auto"/>
          <w:sz w:val="28"/>
          <w:szCs w:val="28"/>
          <w:lang w:val="en-US" w:eastAsia="zh-CN"/>
        </w:rPr>
        <w:t>青年教师专业成长研修</w:t>
      </w:r>
      <w:r>
        <w:rPr>
          <w:rFonts w:hint="eastAsia" w:ascii="仿宋_GB2312" w:hAnsi="仿宋_GB2312" w:eastAsia="仿宋_GB2312" w:cs="仿宋_GB2312"/>
          <w:color w:val="auto"/>
          <w:sz w:val="28"/>
          <w:szCs w:val="28"/>
        </w:rPr>
        <w:t>项目”，</w:t>
      </w:r>
      <w:r>
        <w:rPr>
          <w:rFonts w:hint="eastAsia" w:ascii="仿宋_GB2312" w:hAnsi="仿宋_GB2312" w:eastAsia="仿宋_GB2312" w:cs="仿宋_GB2312"/>
          <w:color w:val="auto"/>
          <w:sz w:val="28"/>
          <w:szCs w:val="28"/>
          <w:lang w:val="en-US" w:eastAsia="zh-CN"/>
        </w:rPr>
        <w:t>具体要求</w:t>
      </w:r>
      <w:r>
        <w:rPr>
          <w:rFonts w:hint="eastAsia" w:ascii="仿宋_GB2312" w:hAnsi="仿宋_GB2312" w:eastAsia="仿宋_GB2312" w:cs="仿宋_GB2312"/>
          <w:color w:val="auto"/>
          <w:sz w:val="28"/>
          <w:szCs w:val="28"/>
        </w:rPr>
        <w:t>如下</w:t>
      </w:r>
      <w:r>
        <w:rPr>
          <w:rFonts w:hint="eastAsia" w:ascii="仿宋_GB2312" w:hAnsi="仿宋_GB2312" w:eastAsia="仿宋_GB2312" w:cs="仿宋_GB2312"/>
          <w:color w:val="auto"/>
          <w:sz w:val="28"/>
          <w:szCs w:val="28"/>
          <w:lang w:eastAsia="zh-CN"/>
        </w:rPr>
        <w:t>：</w:t>
      </w:r>
    </w:p>
    <w:p w14:paraId="006F6338">
      <w:pPr>
        <w:spacing w:line="560" w:lineRule="exact"/>
        <w:ind w:firstLine="562" w:firstLineChars="200"/>
        <w:rPr>
          <w:rFonts w:hint="eastAsia" w:ascii="黑体" w:hAnsi="黑体" w:eastAsia="黑体" w:cs="黑体"/>
          <w:b/>
          <w:bCs w:val="0"/>
          <w:color w:val="auto"/>
          <w:sz w:val="28"/>
          <w:szCs w:val="28"/>
        </w:rPr>
      </w:pPr>
      <w:r>
        <w:rPr>
          <w:rFonts w:hint="eastAsia" w:ascii="黑体" w:hAnsi="黑体" w:eastAsia="黑体" w:cs="黑体"/>
          <w:b/>
          <w:bCs w:val="0"/>
          <w:color w:val="auto"/>
          <w:sz w:val="28"/>
          <w:szCs w:val="28"/>
        </w:rPr>
        <w:t>一、项目目标</w:t>
      </w:r>
    </w:p>
    <w:p w14:paraId="75B0B5F2">
      <w:p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一</w:t>
      </w:r>
      <w:r>
        <w:rPr>
          <w:rFonts w:hint="eastAsia" w:ascii="仿宋_GB2312" w:hAnsi="仿宋_GB2312" w:eastAsia="仿宋_GB2312" w:cs="仿宋_GB2312"/>
          <w:color w:val="auto"/>
          <w:sz w:val="28"/>
          <w:szCs w:val="28"/>
          <w:lang w:eastAsia="zh-CN"/>
        </w:rPr>
        <w:t>）构建校本研修优质资源共建共享机制，依托市级教师专业发展学校组建联合体，推动校际、区域间经验交流与资源整合。</w:t>
      </w:r>
    </w:p>
    <w:p w14:paraId="47F11CCD">
      <w:p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二</w:t>
      </w:r>
      <w:r>
        <w:rPr>
          <w:rFonts w:hint="eastAsia" w:ascii="仿宋_GB2312" w:hAnsi="仿宋_GB2312" w:eastAsia="仿宋_GB2312" w:cs="仿宋_GB2312"/>
          <w:color w:val="auto"/>
          <w:sz w:val="28"/>
          <w:szCs w:val="28"/>
          <w:lang w:eastAsia="zh-CN"/>
        </w:rPr>
        <w:t>）探索“市—区—校”三级联动模式，建设校本研修优质资源示范中心，促进资源的孵化、成型、应用与持续创新。</w:t>
      </w:r>
    </w:p>
    <w:p w14:paraId="4D3D4C0E">
      <w:p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lang w:eastAsia="zh-CN"/>
        </w:rPr>
        <w:t>）打造优质课程资源，支持先导学校系统提炼校本研修成果，围绕新时代青年教师发展需求，形成一批可复制、可推广的优质课程资源。</w:t>
      </w:r>
    </w:p>
    <w:p w14:paraId="688AC36F">
      <w:p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四</w:t>
      </w:r>
      <w:r>
        <w:rPr>
          <w:rFonts w:hint="eastAsia" w:ascii="仿宋_GB2312" w:hAnsi="仿宋_GB2312" w:eastAsia="仿宋_GB2312" w:cs="仿宋_GB2312"/>
          <w:color w:val="auto"/>
          <w:sz w:val="28"/>
          <w:szCs w:val="28"/>
          <w:lang w:eastAsia="zh-CN"/>
        </w:rPr>
        <w:t>）提升青年教师专业能力：通过项目实施，提升青年教师在</w:t>
      </w:r>
      <w:r>
        <w:rPr>
          <w:rFonts w:hint="eastAsia" w:ascii="仿宋_GB2312" w:hAnsi="仿宋_GB2312" w:eastAsia="仿宋_GB2312" w:cs="仿宋_GB2312"/>
          <w:color w:val="auto"/>
          <w:sz w:val="28"/>
          <w:szCs w:val="28"/>
          <w:lang w:val="en-US" w:eastAsia="zh-CN"/>
        </w:rPr>
        <w:t>育德、</w:t>
      </w:r>
      <w:r>
        <w:rPr>
          <w:rFonts w:hint="eastAsia" w:ascii="仿宋_GB2312" w:hAnsi="仿宋_GB2312" w:eastAsia="仿宋_GB2312" w:cs="仿宋_GB2312"/>
          <w:color w:val="auto"/>
          <w:sz w:val="28"/>
          <w:szCs w:val="28"/>
          <w:lang w:eastAsia="zh-CN"/>
        </w:rPr>
        <w:t>教学、教研、评价、信息技术融合等方面的专业素养与实践能力。</w:t>
      </w:r>
    </w:p>
    <w:p w14:paraId="27C8E4C4">
      <w:pPr>
        <w:spacing w:line="560" w:lineRule="exact"/>
        <w:ind w:firstLine="562" w:firstLineChars="200"/>
        <w:rPr>
          <w:rFonts w:hint="eastAsia" w:ascii="黑体" w:hAnsi="黑体" w:eastAsia="黑体" w:cs="黑体"/>
          <w:b/>
          <w:bCs w:val="0"/>
          <w:color w:val="auto"/>
          <w:sz w:val="28"/>
          <w:szCs w:val="28"/>
        </w:rPr>
      </w:pPr>
      <w:r>
        <w:rPr>
          <w:rFonts w:hint="eastAsia" w:ascii="黑体" w:hAnsi="黑体" w:eastAsia="黑体" w:cs="黑体"/>
          <w:b/>
          <w:bCs w:val="0"/>
          <w:color w:val="auto"/>
          <w:sz w:val="28"/>
          <w:szCs w:val="28"/>
        </w:rPr>
        <w:t>二、项目实施</w:t>
      </w:r>
    </w:p>
    <w:p w14:paraId="022525D2">
      <w:pPr>
        <w:spacing w:line="560" w:lineRule="exact"/>
        <w:ind w:firstLine="562" w:firstLineChars="200"/>
        <w:rPr>
          <w:rFonts w:hint="default" w:ascii="黑体" w:hAnsi="黑体" w:eastAsia="黑体" w:cs="黑体"/>
          <w:b/>
          <w:bCs w:val="0"/>
          <w:color w:val="auto"/>
          <w:sz w:val="28"/>
          <w:szCs w:val="28"/>
          <w:lang w:val="en-US" w:eastAsia="zh-CN"/>
        </w:rPr>
      </w:pPr>
      <w:r>
        <w:rPr>
          <w:rFonts w:hint="eastAsia" w:ascii="黑体" w:hAnsi="黑体" w:eastAsia="黑体" w:cs="黑体"/>
          <w:b/>
          <w:bCs w:val="0"/>
          <w:color w:val="auto"/>
          <w:sz w:val="28"/>
          <w:szCs w:val="28"/>
          <w:lang w:eastAsia="zh-CN"/>
        </w:rPr>
        <w:t>（</w:t>
      </w:r>
      <w:r>
        <w:rPr>
          <w:rFonts w:hint="eastAsia" w:ascii="黑体" w:hAnsi="黑体" w:eastAsia="黑体" w:cs="黑体"/>
          <w:b/>
          <w:bCs w:val="0"/>
          <w:color w:val="auto"/>
          <w:sz w:val="28"/>
          <w:szCs w:val="28"/>
          <w:lang w:val="en-US" w:eastAsia="zh-CN"/>
        </w:rPr>
        <w:t>一</w:t>
      </w:r>
      <w:r>
        <w:rPr>
          <w:rFonts w:hint="eastAsia" w:ascii="黑体" w:hAnsi="黑体" w:eastAsia="黑体" w:cs="黑体"/>
          <w:b/>
          <w:bCs w:val="0"/>
          <w:color w:val="auto"/>
          <w:sz w:val="28"/>
          <w:szCs w:val="28"/>
          <w:lang w:eastAsia="zh-CN"/>
        </w:rPr>
        <w:t>）</w:t>
      </w:r>
      <w:r>
        <w:rPr>
          <w:rFonts w:hint="eastAsia" w:ascii="黑体" w:hAnsi="黑体" w:eastAsia="黑体" w:cs="黑体"/>
          <w:b/>
          <w:bCs w:val="0"/>
          <w:color w:val="auto"/>
          <w:sz w:val="28"/>
          <w:szCs w:val="28"/>
        </w:rPr>
        <w:t>申报</w:t>
      </w:r>
      <w:r>
        <w:rPr>
          <w:rFonts w:hint="eastAsia" w:ascii="黑体" w:hAnsi="黑体" w:eastAsia="黑体" w:cs="黑体"/>
          <w:b/>
          <w:bCs w:val="0"/>
          <w:color w:val="auto"/>
          <w:sz w:val="28"/>
          <w:szCs w:val="28"/>
          <w:lang w:val="en-US" w:eastAsia="zh-CN"/>
        </w:rPr>
        <w:t>对象</w:t>
      </w:r>
    </w:p>
    <w:p w14:paraId="1113E793">
      <w:pPr>
        <w:spacing w:line="56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项目由1名领衔人和若干名核心成员构成。</w:t>
      </w:r>
    </w:p>
    <w:p w14:paraId="3209E57B">
      <w:pPr>
        <w:spacing w:line="560" w:lineRule="exact"/>
        <w:ind w:firstLine="560" w:firstLineChars="200"/>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项目领衔人应在本市中小学执教 5 年以上，优先从市区级教师专业发展学校遴选，须具有中级及以上专业技术职称，年龄在45 周岁以下，在本学科领域具备一定教学知名度与学术影响力，拥有较为扎实的研究成果积累。项目核心成员由领衔人自行招募3-6名优秀教师，一般以本校教师为主。</w:t>
      </w:r>
    </w:p>
    <w:p w14:paraId="65D6F3A9">
      <w:pPr>
        <w:numPr>
          <w:ilvl w:val="0"/>
          <w:numId w:val="1"/>
        </w:numPr>
        <w:spacing w:line="560" w:lineRule="exact"/>
        <w:ind w:firstLine="562" w:firstLineChars="200"/>
        <w:rPr>
          <w:rFonts w:hint="eastAsia" w:ascii="黑体" w:hAnsi="黑体" w:eastAsia="黑体" w:cs="黑体"/>
          <w:b/>
          <w:bCs w:val="0"/>
          <w:color w:val="auto"/>
          <w:sz w:val="28"/>
          <w:szCs w:val="28"/>
          <w:lang w:eastAsia="zh-CN"/>
        </w:rPr>
      </w:pPr>
      <w:r>
        <w:rPr>
          <w:rFonts w:hint="eastAsia" w:ascii="黑体" w:hAnsi="黑体" w:eastAsia="黑体" w:cs="黑体"/>
          <w:b/>
          <w:bCs w:val="0"/>
          <w:color w:val="auto"/>
          <w:sz w:val="28"/>
          <w:szCs w:val="28"/>
          <w:lang w:eastAsia="zh-CN"/>
        </w:rPr>
        <w:t>项目</w:t>
      </w:r>
      <w:r>
        <w:rPr>
          <w:rFonts w:hint="eastAsia" w:ascii="黑体" w:hAnsi="黑体" w:eastAsia="黑体" w:cs="黑体"/>
          <w:b/>
          <w:bCs w:val="0"/>
          <w:color w:val="auto"/>
          <w:sz w:val="28"/>
          <w:szCs w:val="28"/>
          <w:lang w:val="en-US" w:eastAsia="zh-CN"/>
        </w:rPr>
        <w:t>数量和</w:t>
      </w:r>
      <w:r>
        <w:rPr>
          <w:rFonts w:hint="eastAsia" w:ascii="黑体" w:hAnsi="黑体" w:eastAsia="黑体" w:cs="黑体"/>
          <w:b/>
          <w:bCs w:val="0"/>
          <w:color w:val="auto"/>
          <w:sz w:val="28"/>
          <w:szCs w:val="28"/>
          <w:lang w:eastAsia="zh-CN"/>
        </w:rPr>
        <w:t>周期：</w:t>
      </w:r>
    </w:p>
    <w:p w14:paraId="4741539C">
      <w:pPr>
        <w:numPr>
          <w:ilvl w:val="0"/>
          <w:numId w:val="0"/>
        </w:numPr>
        <w:spacing w:line="560" w:lineRule="exact"/>
        <w:ind w:firstLine="560" w:firstLineChars="200"/>
        <w:rPr>
          <w:rFonts w:hint="eastAsia"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立项80个项目左右；实施周期为1年半。</w:t>
      </w:r>
    </w:p>
    <w:p w14:paraId="5C2052DD">
      <w:pPr>
        <w:spacing w:line="560" w:lineRule="exact"/>
        <w:ind w:firstLine="562" w:firstLineChars="200"/>
        <w:rPr>
          <w:rFonts w:hint="default" w:ascii="黑体" w:hAnsi="黑体" w:eastAsia="黑体" w:cs="黑体"/>
          <w:b/>
          <w:bCs w:val="0"/>
          <w:color w:val="auto"/>
          <w:sz w:val="28"/>
          <w:szCs w:val="28"/>
          <w:lang w:val="en-US" w:eastAsia="zh-CN"/>
        </w:rPr>
      </w:pPr>
      <w:r>
        <w:rPr>
          <w:rFonts w:hint="eastAsia" w:ascii="黑体" w:hAnsi="黑体" w:eastAsia="黑体" w:cs="黑体"/>
          <w:b/>
          <w:bCs w:val="0"/>
          <w:color w:val="auto"/>
          <w:sz w:val="28"/>
          <w:szCs w:val="28"/>
          <w:lang w:eastAsia="zh-CN"/>
        </w:rPr>
        <w:t>（</w:t>
      </w:r>
      <w:r>
        <w:rPr>
          <w:rFonts w:hint="eastAsia" w:ascii="黑体" w:hAnsi="黑体" w:eastAsia="黑体" w:cs="黑体"/>
          <w:b/>
          <w:bCs w:val="0"/>
          <w:color w:val="auto"/>
          <w:sz w:val="28"/>
          <w:szCs w:val="28"/>
          <w:lang w:val="en-US" w:eastAsia="zh-CN"/>
        </w:rPr>
        <w:t>三</w:t>
      </w:r>
      <w:r>
        <w:rPr>
          <w:rFonts w:hint="eastAsia" w:ascii="黑体" w:hAnsi="黑体" w:eastAsia="黑体" w:cs="黑体"/>
          <w:b/>
          <w:bCs w:val="0"/>
          <w:color w:val="auto"/>
          <w:sz w:val="28"/>
          <w:szCs w:val="28"/>
          <w:lang w:eastAsia="zh-CN"/>
        </w:rPr>
        <w:t>）</w:t>
      </w:r>
      <w:r>
        <w:rPr>
          <w:rFonts w:hint="eastAsia" w:ascii="黑体" w:hAnsi="黑体" w:eastAsia="黑体" w:cs="黑体"/>
          <w:b/>
          <w:bCs w:val="0"/>
          <w:color w:val="auto"/>
          <w:sz w:val="28"/>
          <w:szCs w:val="28"/>
          <w:lang w:val="en-US" w:eastAsia="zh-CN"/>
        </w:rPr>
        <w:t>实施过程</w:t>
      </w:r>
    </w:p>
    <w:p w14:paraId="710085CC">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1.立项评审</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市级组织专家</w:t>
      </w:r>
      <w:r>
        <w:rPr>
          <w:rFonts w:hint="eastAsia" w:ascii="仿宋_GB2312" w:hAnsi="仿宋_GB2312" w:eastAsia="仿宋_GB2312" w:cs="仿宋_GB2312"/>
          <w:color w:val="auto"/>
          <w:sz w:val="28"/>
          <w:szCs w:val="28"/>
        </w:rPr>
        <w:t>对各区所报项目进行评审，确定立项项目。</w:t>
      </w:r>
    </w:p>
    <w:p w14:paraId="416CFEE1">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2.开题指导</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市级组织专家</w:t>
      </w:r>
      <w:r>
        <w:rPr>
          <w:rFonts w:hint="eastAsia" w:ascii="仿宋_GB2312" w:hAnsi="仿宋_GB2312" w:eastAsia="仿宋_GB2312" w:cs="仿宋_GB2312"/>
          <w:color w:val="auto"/>
          <w:sz w:val="28"/>
          <w:szCs w:val="28"/>
        </w:rPr>
        <w:t>对立项项目进行开题指导；与项目领衔人签订任务书,明确资源建设目标、内容、进度、预期成果等；召开项目启动会，进行全面部署和动员。</w:t>
      </w:r>
    </w:p>
    <w:p w14:paraId="4DE9FB61">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w:t>
      </w:r>
      <w:r>
        <w:rPr>
          <w:rFonts w:hint="eastAsia" w:ascii="仿宋_GB2312" w:hAnsi="仿宋_GB2312" w:eastAsia="仿宋_GB2312" w:cs="仿宋_GB2312"/>
          <w:color w:val="auto"/>
          <w:sz w:val="28"/>
          <w:szCs w:val="28"/>
          <w:lang w:val="en-US" w:eastAsia="zh-CN"/>
        </w:rPr>
        <w:t>专家引领</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组建项目指导</w:t>
      </w:r>
      <w:r>
        <w:rPr>
          <w:rFonts w:hint="eastAsia" w:ascii="仿宋_GB2312" w:hAnsi="仿宋_GB2312" w:eastAsia="仿宋_GB2312" w:cs="仿宋_GB2312"/>
          <w:color w:val="auto"/>
          <w:sz w:val="28"/>
          <w:szCs w:val="28"/>
          <w:lang w:val="en-US" w:eastAsia="zh-CN"/>
        </w:rPr>
        <w:t>专家</w:t>
      </w:r>
      <w:r>
        <w:rPr>
          <w:rFonts w:hint="eastAsia" w:ascii="仿宋_GB2312" w:hAnsi="仿宋_GB2312" w:eastAsia="仿宋_GB2312" w:cs="仿宋_GB2312"/>
          <w:color w:val="auto"/>
          <w:sz w:val="28"/>
          <w:szCs w:val="28"/>
        </w:rPr>
        <w:t>团队。市区协作成立跨学科、跨领域的专家指导团队,为各项目提供全程指导和咨询服务，加强成果形式、结构、内容的系统化指导。项目领衔人及成员定期参与市区组织的专题培训，提升</w:t>
      </w:r>
      <w:r>
        <w:rPr>
          <w:rFonts w:hint="eastAsia" w:ascii="仿宋_GB2312" w:hAnsi="仿宋_GB2312" w:eastAsia="仿宋_GB2312" w:cs="仿宋_GB2312"/>
          <w:color w:val="auto"/>
          <w:sz w:val="28"/>
          <w:szCs w:val="28"/>
          <w:lang w:val="en-US" w:eastAsia="zh-CN"/>
        </w:rPr>
        <w:t>项目实施</w:t>
      </w:r>
      <w:r>
        <w:rPr>
          <w:rFonts w:hint="eastAsia" w:ascii="仿宋_GB2312" w:hAnsi="仿宋_GB2312" w:eastAsia="仿宋_GB2312" w:cs="仿宋_GB2312"/>
          <w:color w:val="auto"/>
          <w:sz w:val="28"/>
          <w:szCs w:val="28"/>
        </w:rPr>
        <w:t>能力。</w:t>
      </w:r>
    </w:p>
    <w:p w14:paraId="7B284DF7">
      <w:p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4.实施培养：通过自主招募的方式，在全市范围内选拔具有2-</w:t>
      </w:r>
      <w:r>
        <w:rPr>
          <w:rFonts w:hint="eastAsia" w:ascii="仿宋_GB2312" w:hAnsi="仿宋_GB2312" w:eastAsia="仿宋_GB2312" w:cs="仿宋_GB2312"/>
          <w:color w:val="auto"/>
          <w:sz w:val="28"/>
          <w:szCs w:val="28"/>
          <w:lang w:val="en-US" w:eastAsia="zh-CN"/>
        </w:rPr>
        <w:t>10</w:t>
      </w:r>
      <w:r>
        <w:rPr>
          <w:rFonts w:hint="eastAsia" w:ascii="仿宋_GB2312" w:hAnsi="仿宋_GB2312" w:eastAsia="仿宋_GB2312" w:cs="仿宋_GB2312"/>
          <w:color w:val="auto"/>
          <w:sz w:val="28"/>
          <w:szCs w:val="28"/>
          <w:lang w:eastAsia="zh-CN"/>
        </w:rPr>
        <w:t>年教学经验的青年教师加入项目组，通过为期</w:t>
      </w:r>
      <w:r>
        <w:rPr>
          <w:rFonts w:hint="eastAsia" w:ascii="仿宋_GB2312" w:hAnsi="仿宋_GB2312" w:eastAsia="仿宋_GB2312" w:cs="仿宋_GB2312"/>
          <w:color w:val="auto"/>
          <w:sz w:val="28"/>
          <w:szCs w:val="28"/>
          <w:lang w:val="en-US" w:eastAsia="zh-CN"/>
        </w:rPr>
        <w:t>半年</w:t>
      </w:r>
      <w:r>
        <w:rPr>
          <w:rFonts w:hint="eastAsia" w:ascii="仿宋_GB2312" w:hAnsi="仿宋_GB2312" w:eastAsia="仿宋_GB2312" w:cs="仿宋_GB2312"/>
          <w:color w:val="auto"/>
          <w:sz w:val="28"/>
          <w:szCs w:val="28"/>
          <w:lang w:eastAsia="zh-CN"/>
        </w:rPr>
        <w:t>的浸润式学习和系统培训，共同研讨、</w:t>
      </w:r>
      <w:r>
        <w:rPr>
          <w:rFonts w:hint="eastAsia" w:ascii="仿宋_GB2312" w:hAnsi="仿宋_GB2312" w:eastAsia="仿宋_GB2312" w:cs="仿宋_GB2312"/>
          <w:color w:val="auto"/>
          <w:sz w:val="28"/>
          <w:szCs w:val="28"/>
          <w:lang w:val="en-US" w:eastAsia="zh-CN"/>
        </w:rPr>
        <w:t>共同完善</w:t>
      </w:r>
      <w:r>
        <w:rPr>
          <w:rFonts w:hint="eastAsia" w:ascii="仿宋_GB2312" w:hAnsi="仿宋_GB2312" w:eastAsia="仿宋_GB2312" w:cs="仿宋_GB2312"/>
          <w:color w:val="auto"/>
          <w:sz w:val="28"/>
          <w:szCs w:val="28"/>
          <w:lang w:eastAsia="zh-CN"/>
        </w:rPr>
        <w:t>课程资源。</w:t>
      </w:r>
    </w:p>
    <w:p w14:paraId="152D3A4B">
      <w:pPr>
        <w:spacing w:line="56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5.课程资源深度开发：各项目结合前期青年教师研修实践情况，将项目研究成果高质量地转化为契合青年教师专业成长的研训课程。</w:t>
      </w:r>
    </w:p>
    <w:p w14:paraId="1CBC83B8">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6</w:t>
      </w:r>
      <w:r>
        <w:rPr>
          <w:rFonts w:hint="eastAsia" w:ascii="仿宋_GB2312" w:hAnsi="仿宋_GB2312" w:eastAsia="仿宋_GB2312" w:cs="仿宋_GB2312"/>
          <w:color w:val="auto"/>
          <w:sz w:val="28"/>
          <w:szCs w:val="28"/>
        </w:rPr>
        <w:t>.项目结项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项目组须提交完整的项目成果，经过上海市教师教育学院组织专家进行结项评审，</w:t>
      </w:r>
      <w:r>
        <w:rPr>
          <w:rFonts w:hint="eastAsia" w:ascii="仿宋_GB2312" w:hAnsi="仿宋_GB2312" w:eastAsia="仿宋_GB2312" w:cs="仿宋_GB2312"/>
          <w:color w:val="auto"/>
          <w:sz w:val="28"/>
          <w:szCs w:val="28"/>
          <w:lang w:val="en-US" w:eastAsia="zh-CN"/>
        </w:rPr>
        <w:t>通过评审</w:t>
      </w:r>
      <w:r>
        <w:rPr>
          <w:rFonts w:hint="eastAsia" w:ascii="仿宋_GB2312" w:hAnsi="仿宋_GB2312" w:eastAsia="仿宋_GB2312" w:cs="仿宋_GB2312"/>
          <w:color w:val="auto"/>
          <w:sz w:val="28"/>
          <w:szCs w:val="28"/>
        </w:rPr>
        <w:t>才能结</w:t>
      </w:r>
      <w:r>
        <w:rPr>
          <w:rFonts w:hint="eastAsia" w:ascii="仿宋_GB2312" w:hAnsi="仿宋_GB2312" w:eastAsia="仿宋_GB2312" w:cs="仿宋_GB2312"/>
          <w:color w:val="auto"/>
          <w:sz w:val="28"/>
          <w:szCs w:val="28"/>
          <w:lang w:eastAsia="zh-CN"/>
        </w:rPr>
        <w:t>项</w:t>
      </w:r>
      <w:r>
        <w:rPr>
          <w:rFonts w:hint="eastAsia" w:ascii="仿宋_GB2312" w:hAnsi="仿宋_GB2312" w:eastAsia="仿宋_GB2312" w:cs="仿宋_GB2312"/>
          <w:color w:val="auto"/>
          <w:sz w:val="28"/>
          <w:szCs w:val="28"/>
        </w:rPr>
        <w:t>。</w:t>
      </w:r>
    </w:p>
    <w:p w14:paraId="04FFED01">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7</w:t>
      </w:r>
      <w:r>
        <w:rPr>
          <w:rFonts w:hint="eastAsia" w:ascii="仿宋_GB2312" w:hAnsi="仿宋_GB2312" w:eastAsia="仿宋_GB2312" w:cs="仿宋_GB2312"/>
          <w:color w:val="auto"/>
          <w:sz w:val="28"/>
          <w:szCs w:val="28"/>
        </w:rPr>
        <w:t>.推广应用</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 xml:space="preserve">选择优秀的项目成果在市级展示研讨, </w:t>
      </w:r>
      <w:r>
        <w:rPr>
          <w:rFonts w:hint="eastAsia" w:ascii="仿宋_GB2312" w:hAnsi="仿宋_GB2312" w:eastAsia="仿宋_GB2312" w:cs="仿宋_GB2312"/>
          <w:color w:val="auto"/>
          <w:sz w:val="28"/>
          <w:szCs w:val="28"/>
          <w:lang w:val="en-US" w:eastAsia="zh-CN"/>
        </w:rPr>
        <w:t>通过</w:t>
      </w:r>
      <w:r>
        <w:rPr>
          <w:rFonts w:hint="eastAsia" w:ascii="仿宋_GB2312" w:hAnsi="仿宋_GB2312" w:eastAsia="仿宋_GB2312" w:cs="仿宋_GB2312"/>
          <w:color w:val="auto"/>
          <w:sz w:val="28"/>
          <w:szCs w:val="28"/>
        </w:rPr>
        <w:t>市区辐射交流，扩大资源的辐射面和影响力；初步建立资源建设</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应用跟踪评估与激励机制，持续发挥</w:t>
      </w:r>
      <w:r>
        <w:rPr>
          <w:rFonts w:hint="eastAsia" w:ascii="仿宋_GB2312" w:hAnsi="仿宋_GB2312" w:eastAsia="仿宋_GB2312" w:cs="仿宋_GB2312"/>
          <w:color w:val="auto"/>
          <w:sz w:val="28"/>
          <w:szCs w:val="28"/>
          <w:lang w:val="en-US" w:eastAsia="zh-CN"/>
        </w:rPr>
        <w:t>对于青年教师专业成长支持的</w:t>
      </w:r>
      <w:r>
        <w:rPr>
          <w:rFonts w:hint="eastAsia" w:ascii="仿宋_GB2312" w:hAnsi="仿宋_GB2312" w:eastAsia="仿宋_GB2312" w:cs="仿宋_GB2312"/>
          <w:color w:val="auto"/>
          <w:sz w:val="28"/>
          <w:szCs w:val="28"/>
        </w:rPr>
        <w:t>辐射和引领价值。</w:t>
      </w:r>
    </w:p>
    <w:p w14:paraId="3F079CF7">
      <w:pPr>
        <w:spacing w:line="560" w:lineRule="exact"/>
        <w:ind w:firstLine="562" w:firstLineChars="200"/>
        <w:rPr>
          <w:rFonts w:hint="eastAsia" w:ascii="黑体" w:hAnsi="黑体" w:eastAsia="黑体" w:cs="黑体"/>
          <w:b/>
          <w:bCs w:val="0"/>
          <w:color w:val="auto"/>
          <w:sz w:val="28"/>
          <w:szCs w:val="28"/>
          <w:lang w:eastAsia="zh-CN"/>
        </w:rPr>
      </w:pPr>
      <w:r>
        <w:rPr>
          <w:rFonts w:hint="eastAsia" w:ascii="黑体" w:hAnsi="黑体" w:eastAsia="黑体" w:cs="黑体"/>
          <w:b/>
          <w:bCs w:val="0"/>
          <w:color w:val="auto"/>
          <w:sz w:val="28"/>
          <w:szCs w:val="28"/>
          <w:lang w:eastAsia="zh-CN"/>
        </w:rPr>
        <w:t>（四）项目时间安排</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6"/>
        <w:gridCol w:w="5876"/>
      </w:tblGrid>
      <w:tr w14:paraId="1DE3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46" w:type="dxa"/>
          </w:tcPr>
          <w:p w14:paraId="375EF3BF">
            <w:pPr>
              <w:spacing w:line="56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时间进度</w:t>
            </w:r>
          </w:p>
        </w:tc>
        <w:tc>
          <w:tcPr>
            <w:tcW w:w="5876" w:type="dxa"/>
          </w:tcPr>
          <w:p w14:paraId="13400ADE">
            <w:pPr>
              <w:spacing w:line="56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实施内容</w:t>
            </w:r>
          </w:p>
        </w:tc>
      </w:tr>
      <w:tr w14:paraId="695F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6" w:type="dxa"/>
          </w:tcPr>
          <w:p w14:paraId="1163A166">
            <w:pPr>
              <w:spacing w:line="560" w:lineRule="exact"/>
              <w:jc w:val="center"/>
              <w:rPr>
                <w:rFonts w:hint="default"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rPr>
              <w:t>202</w:t>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10</w:t>
            </w:r>
          </w:p>
        </w:tc>
        <w:tc>
          <w:tcPr>
            <w:tcW w:w="5876" w:type="dxa"/>
          </w:tcPr>
          <w:p w14:paraId="0E0AEDD7">
            <w:pPr>
              <w:spacing w:line="56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发布通知，组织申报</w:t>
            </w:r>
          </w:p>
        </w:tc>
      </w:tr>
      <w:tr w14:paraId="7375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6" w:type="dxa"/>
          </w:tcPr>
          <w:p w14:paraId="6B300E1E">
            <w:pPr>
              <w:spacing w:line="560" w:lineRule="exact"/>
              <w:jc w:val="center"/>
              <w:rPr>
                <w:rFonts w:hint="default"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2026.11</w:t>
            </w:r>
          </w:p>
        </w:tc>
        <w:tc>
          <w:tcPr>
            <w:tcW w:w="5876" w:type="dxa"/>
          </w:tcPr>
          <w:p w14:paraId="4334A55A">
            <w:pPr>
              <w:spacing w:line="56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立项评审、开题指导，签约启动</w:t>
            </w:r>
          </w:p>
        </w:tc>
      </w:tr>
      <w:tr w14:paraId="7F2F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6" w:type="dxa"/>
            <w:shd w:val="clear" w:color="auto" w:fill="auto"/>
            <w:vAlign w:val="top"/>
          </w:tcPr>
          <w:p w14:paraId="3F4AC060">
            <w:pPr>
              <w:spacing w:line="560" w:lineRule="exact"/>
              <w:jc w:val="center"/>
              <w:rPr>
                <w:rFonts w:hint="default"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sz w:val="28"/>
                <w:szCs w:val="28"/>
              </w:rPr>
              <w:t>202</w:t>
            </w:r>
            <w:r>
              <w:rPr>
                <w:rFonts w:hint="eastAsia" w:ascii="仿宋_GB2312" w:hAnsi="仿宋_GB2312" w:eastAsia="仿宋_GB2312" w:cs="仿宋_GB2312"/>
                <w:bCs/>
                <w:color w:val="auto"/>
                <w:sz w:val="28"/>
                <w:szCs w:val="28"/>
                <w:lang w:val="en-US" w:eastAsia="zh-CN"/>
              </w:rPr>
              <w:t>6</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12</w:t>
            </w:r>
            <w:r>
              <w:rPr>
                <w:rFonts w:hint="eastAsia" w:ascii="仿宋_GB2312" w:hAnsi="仿宋_GB2312" w:eastAsia="仿宋_GB2312" w:cs="仿宋_GB2312"/>
                <w:bCs/>
                <w:color w:val="auto"/>
                <w:sz w:val="28"/>
                <w:szCs w:val="28"/>
              </w:rPr>
              <w:t>-202</w:t>
            </w:r>
            <w:r>
              <w:rPr>
                <w:rFonts w:hint="eastAsia" w:ascii="仿宋_GB2312" w:hAnsi="仿宋_GB2312" w:eastAsia="仿宋_GB2312" w:cs="仿宋_GB2312"/>
                <w:bCs/>
                <w:color w:val="auto"/>
                <w:sz w:val="28"/>
                <w:szCs w:val="28"/>
                <w:lang w:val="en-US" w:eastAsia="zh-CN"/>
              </w:rPr>
              <w:t>7</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val="en-US" w:eastAsia="zh-CN"/>
              </w:rPr>
              <w:t>6</w:t>
            </w:r>
          </w:p>
        </w:tc>
        <w:tc>
          <w:tcPr>
            <w:tcW w:w="5876" w:type="dxa"/>
            <w:shd w:val="clear" w:color="auto" w:fill="auto"/>
            <w:vAlign w:val="top"/>
          </w:tcPr>
          <w:p w14:paraId="08E7B61C">
            <w:pPr>
              <w:spacing w:line="560" w:lineRule="exact"/>
              <w:jc w:val="center"/>
              <w:rPr>
                <w:rFonts w:hint="eastAsia"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sz w:val="28"/>
                <w:szCs w:val="28"/>
                <w:lang w:val="en-US" w:eastAsia="zh-CN"/>
              </w:rPr>
              <w:t>梳理成果</w:t>
            </w:r>
            <w:r>
              <w:rPr>
                <w:rFonts w:hint="eastAsia" w:ascii="仿宋_GB2312" w:hAnsi="仿宋_GB2312" w:eastAsia="仿宋_GB2312" w:cs="仿宋_GB2312"/>
                <w:bCs/>
                <w:color w:val="auto"/>
                <w:sz w:val="28"/>
                <w:szCs w:val="28"/>
              </w:rPr>
              <w:t>，</w:t>
            </w:r>
            <w:r>
              <w:rPr>
                <w:rFonts w:hint="eastAsia" w:ascii="仿宋_GB2312" w:hAnsi="仿宋_GB2312" w:eastAsia="仿宋_GB2312" w:cs="仿宋_GB2312"/>
                <w:bCs/>
                <w:color w:val="auto"/>
                <w:sz w:val="28"/>
                <w:szCs w:val="28"/>
                <w:lang w:eastAsia="zh-CN"/>
              </w:rPr>
              <w:t>依托项目组织开展青年教师研修</w:t>
            </w:r>
          </w:p>
        </w:tc>
      </w:tr>
      <w:tr w14:paraId="2389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6" w:type="dxa"/>
          </w:tcPr>
          <w:p w14:paraId="7E383938">
            <w:pPr>
              <w:spacing w:line="560" w:lineRule="exact"/>
              <w:jc w:val="center"/>
              <w:rPr>
                <w:rFonts w:hint="default" w:ascii="仿宋_GB2312" w:hAnsi="仿宋_GB2312" w:eastAsia="仿宋_GB2312" w:cs="仿宋_GB2312"/>
                <w:bCs/>
                <w:color w:val="auto"/>
                <w:sz w:val="28"/>
                <w:szCs w:val="28"/>
                <w:lang w:val="en-US" w:eastAsia="zh-CN"/>
              </w:rPr>
            </w:pPr>
            <w:r>
              <w:rPr>
                <w:rFonts w:hint="eastAsia" w:ascii="仿宋_GB2312" w:hAnsi="仿宋_GB2312" w:eastAsia="仿宋_GB2312" w:cs="仿宋_GB2312"/>
                <w:bCs/>
                <w:color w:val="auto"/>
                <w:sz w:val="28"/>
                <w:szCs w:val="28"/>
                <w:lang w:val="en-US" w:eastAsia="zh-CN"/>
              </w:rPr>
              <w:t>2027.7-2027.9</w:t>
            </w:r>
          </w:p>
        </w:tc>
        <w:tc>
          <w:tcPr>
            <w:tcW w:w="5876" w:type="dxa"/>
          </w:tcPr>
          <w:p w14:paraId="43E95DC7">
            <w:pPr>
              <w:spacing w:line="560" w:lineRule="exact"/>
              <w:jc w:val="center"/>
              <w:rPr>
                <w:rFonts w:hint="eastAsia" w:ascii="仿宋_GB2312" w:hAnsi="仿宋_GB2312" w:eastAsia="仿宋_GB2312" w:cs="仿宋_GB2312"/>
                <w:bCs/>
                <w:color w:val="auto"/>
                <w:sz w:val="28"/>
                <w:szCs w:val="28"/>
              </w:rPr>
            </w:pPr>
            <w:r>
              <w:rPr>
                <w:rFonts w:hint="eastAsia" w:ascii="仿宋_GB2312" w:hAnsi="仿宋_GB2312" w:eastAsia="仿宋_GB2312" w:cs="仿宋_GB2312"/>
                <w:bCs/>
                <w:color w:val="auto"/>
                <w:sz w:val="28"/>
                <w:szCs w:val="28"/>
              </w:rPr>
              <w:t>成果优化，</w:t>
            </w:r>
            <w:r>
              <w:rPr>
                <w:rFonts w:hint="eastAsia" w:ascii="仿宋_GB2312" w:hAnsi="仿宋_GB2312" w:eastAsia="仿宋_GB2312" w:cs="仿宋_GB2312"/>
                <w:bCs/>
                <w:color w:val="auto"/>
                <w:sz w:val="28"/>
                <w:szCs w:val="28"/>
                <w:lang w:eastAsia="zh-CN"/>
              </w:rPr>
              <w:t>形成课程资源</w:t>
            </w:r>
          </w:p>
        </w:tc>
      </w:tr>
      <w:tr w14:paraId="7CF2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6" w:type="dxa"/>
            <w:shd w:val="clear" w:color="auto" w:fill="auto"/>
            <w:vAlign w:val="top"/>
          </w:tcPr>
          <w:p w14:paraId="6113EA06">
            <w:pPr>
              <w:spacing w:line="560" w:lineRule="exact"/>
              <w:jc w:val="center"/>
              <w:rPr>
                <w:rFonts w:hint="default"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sz w:val="28"/>
                <w:szCs w:val="28"/>
              </w:rPr>
              <w:t>202</w:t>
            </w:r>
            <w:r>
              <w:rPr>
                <w:rFonts w:hint="eastAsia" w:ascii="仿宋_GB2312" w:hAnsi="仿宋_GB2312" w:eastAsia="仿宋_GB2312" w:cs="仿宋_GB2312"/>
                <w:bCs/>
                <w:color w:val="auto"/>
                <w:sz w:val="28"/>
                <w:szCs w:val="28"/>
                <w:lang w:val="en-US" w:eastAsia="zh-CN"/>
              </w:rPr>
              <w:t>7.10-11</w:t>
            </w:r>
          </w:p>
        </w:tc>
        <w:tc>
          <w:tcPr>
            <w:tcW w:w="5876" w:type="dxa"/>
            <w:shd w:val="clear" w:color="auto" w:fill="auto"/>
            <w:vAlign w:val="top"/>
          </w:tcPr>
          <w:p w14:paraId="45240F7C">
            <w:pPr>
              <w:spacing w:line="560" w:lineRule="exact"/>
              <w:jc w:val="center"/>
              <w:rPr>
                <w:rFonts w:hint="default" w:ascii="仿宋_GB2312" w:hAnsi="仿宋_GB2312" w:eastAsia="仿宋_GB2312" w:cs="仿宋_GB2312"/>
                <w:bCs/>
                <w:color w:val="auto"/>
                <w:kern w:val="2"/>
                <w:sz w:val="28"/>
                <w:szCs w:val="28"/>
                <w:lang w:val="en-US" w:eastAsia="zh-CN" w:bidi="ar-SA"/>
              </w:rPr>
            </w:pPr>
            <w:r>
              <w:rPr>
                <w:rFonts w:hint="eastAsia" w:ascii="仿宋_GB2312" w:hAnsi="仿宋_GB2312" w:eastAsia="仿宋_GB2312" w:cs="仿宋_GB2312"/>
                <w:bCs/>
                <w:color w:val="auto"/>
                <w:sz w:val="28"/>
                <w:szCs w:val="28"/>
              </w:rPr>
              <w:t>成果总结，专家论证</w:t>
            </w:r>
            <w:r>
              <w:rPr>
                <w:rFonts w:hint="eastAsia" w:ascii="仿宋_GB2312" w:hAnsi="仿宋_GB2312" w:eastAsia="仿宋_GB2312" w:cs="仿宋_GB2312"/>
                <w:bCs/>
                <w:color w:val="auto"/>
                <w:sz w:val="28"/>
                <w:szCs w:val="28"/>
                <w:lang w:eastAsia="zh-CN"/>
              </w:rPr>
              <w:t>，</w:t>
            </w:r>
            <w:r>
              <w:rPr>
                <w:rFonts w:hint="eastAsia" w:ascii="仿宋_GB2312" w:hAnsi="仿宋_GB2312" w:eastAsia="仿宋_GB2312" w:cs="仿宋_GB2312"/>
                <w:bCs/>
                <w:color w:val="auto"/>
                <w:sz w:val="28"/>
                <w:szCs w:val="28"/>
                <w:lang w:val="en-US" w:eastAsia="zh-CN"/>
              </w:rPr>
              <w:t>项目结项</w:t>
            </w:r>
          </w:p>
        </w:tc>
      </w:tr>
    </w:tbl>
    <w:p w14:paraId="79582CB6">
      <w:pPr>
        <w:spacing w:line="560" w:lineRule="exact"/>
        <w:ind w:firstLine="562" w:firstLineChars="200"/>
        <w:rPr>
          <w:rFonts w:hint="eastAsia" w:ascii="黑体" w:hAnsi="黑体" w:eastAsia="黑体" w:cs="黑体"/>
          <w:b/>
          <w:bCs w:val="0"/>
          <w:color w:val="auto"/>
          <w:sz w:val="28"/>
          <w:szCs w:val="28"/>
          <w:lang w:eastAsia="zh-CN"/>
        </w:rPr>
      </w:pPr>
      <w:r>
        <w:rPr>
          <w:rFonts w:hint="eastAsia" w:ascii="黑体" w:hAnsi="黑体" w:eastAsia="黑体" w:cs="黑体"/>
          <w:b/>
          <w:bCs w:val="0"/>
          <w:color w:val="auto"/>
          <w:sz w:val="28"/>
          <w:szCs w:val="28"/>
          <w:lang w:eastAsia="zh-CN"/>
        </w:rPr>
        <w:t xml:space="preserve">（五）预期成果 </w:t>
      </w:r>
    </w:p>
    <w:p w14:paraId="067F25BC">
      <w:pPr>
        <w:spacing w:line="560" w:lineRule="exact"/>
        <w:ind w:firstLine="560" w:firstLineChars="2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1.开展一系列学校联合体</w:t>
      </w:r>
      <w:r>
        <w:rPr>
          <w:rFonts w:hint="eastAsia" w:ascii="仿宋_GB2312" w:hAnsi="仿宋_GB2312" w:eastAsia="仿宋_GB2312" w:cs="仿宋_GB2312"/>
          <w:color w:val="auto"/>
          <w:sz w:val="28"/>
          <w:szCs w:val="28"/>
          <w:lang w:eastAsia="zh-CN"/>
        </w:rPr>
        <w:t>青年教师专业</w:t>
      </w:r>
      <w:r>
        <w:rPr>
          <w:rFonts w:hint="eastAsia" w:ascii="仿宋_GB2312" w:hAnsi="仿宋_GB2312" w:eastAsia="仿宋_GB2312" w:cs="仿宋_GB2312"/>
          <w:color w:val="auto"/>
          <w:sz w:val="28"/>
          <w:szCs w:val="28"/>
          <w:lang w:val="en-US" w:eastAsia="zh-CN"/>
        </w:rPr>
        <w:t>成长的经验交流、分享</w:t>
      </w:r>
      <w:r>
        <w:rPr>
          <w:rFonts w:hint="eastAsia" w:ascii="仿宋_GB2312" w:hAnsi="仿宋_GB2312" w:eastAsia="仿宋_GB2312" w:cs="仿宋_GB2312"/>
          <w:color w:val="auto"/>
          <w:sz w:val="28"/>
          <w:szCs w:val="28"/>
        </w:rPr>
        <w:t>专题活动；</w:t>
      </w:r>
    </w:p>
    <w:p w14:paraId="5A979FDF">
      <w:pPr>
        <w:numPr>
          <w:ilvl w:val="255"/>
          <w:numId w:val="0"/>
        </w:numPr>
        <w:spacing w:line="560" w:lineRule="exact"/>
        <w:ind w:firstLine="560" w:firstLineChars="200"/>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sz w:val="28"/>
          <w:szCs w:val="28"/>
          <w:lang w:val="en-US" w:eastAsia="zh-CN"/>
        </w:rPr>
        <w:t>举办中小学青年教师专业成长工作坊；</w:t>
      </w:r>
    </w:p>
    <w:p w14:paraId="2CD6038B">
      <w:pPr>
        <w:numPr>
          <w:ilvl w:val="255"/>
          <w:numId w:val="0"/>
        </w:numPr>
        <w:spacing w:line="560" w:lineRule="exact"/>
        <w:ind w:firstLine="560" w:firstLineChars="200"/>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rPr>
        <w:t>建设一批高质量、多样化的</w:t>
      </w:r>
      <w:r>
        <w:rPr>
          <w:rFonts w:hint="eastAsia" w:ascii="仿宋_GB2312" w:hAnsi="仿宋_GB2312" w:eastAsia="仿宋_GB2312" w:cs="仿宋_GB2312"/>
          <w:color w:val="auto"/>
          <w:sz w:val="28"/>
          <w:szCs w:val="28"/>
          <w:lang w:eastAsia="zh-CN"/>
        </w:rPr>
        <w:t>推动青年教师专业成长的课程</w:t>
      </w:r>
      <w:r>
        <w:rPr>
          <w:rFonts w:hint="eastAsia" w:ascii="仿宋_GB2312" w:hAnsi="仿宋_GB2312" w:eastAsia="仿宋_GB2312" w:cs="仿宋_GB2312"/>
          <w:color w:val="auto"/>
          <w:sz w:val="28"/>
          <w:szCs w:val="28"/>
        </w:rPr>
        <w:t>资源</w:t>
      </w:r>
      <w:r>
        <w:rPr>
          <w:rFonts w:hint="eastAsia" w:ascii="仿宋_GB2312" w:hAnsi="仿宋_GB2312" w:eastAsia="仿宋_GB2312" w:cs="仿宋_GB2312"/>
          <w:color w:val="auto"/>
          <w:sz w:val="28"/>
          <w:szCs w:val="28"/>
          <w:lang w:eastAsia="zh-CN"/>
        </w:rPr>
        <w:t>。</w:t>
      </w:r>
    </w:p>
    <w:p w14:paraId="314EFAC9">
      <w:pPr>
        <w:spacing w:line="560" w:lineRule="exact"/>
        <w:ind w:firstLine="562" w:firstLineChars="200"/>
        <w:rPr>
          <w:rFonts w:hint="eastAsia" w:ascii="黑体" w:hAnsi="黑体" w:eastAsia="黑体" w:cs="黑体"/>
          <w:b/>
          <w:bCs w:val="0"/>
          <w:color w:val="auto"/>
          <w:sz w:val="28"/>
          <w:szCs w:val="28"/>
          <w:lang w:eastAsia="zh-CN"/>
        </w:rPr>
      </w:pPr>
      <w:r>
        <w:rPr>
          <w:rFonts w:hint="eastAsia" w:ascii="黑体" w:hAnsi="黑体" w:eastAsia="黑体" w:cs="黑体"/>
          <w:b/>
          <w:bCs w:val="0"/>
          <w:color w:val="auto"/>
          <w:sz w:val="28"/>
          <w:szCs w:val="28"/>
          <w:lang w:val="en-US" w:eastAsia="zh-CN"/>
        </w:rPr>
        <w:t>三</w:t>
      </w:r>
      <w:r>
        <w:rPr>
          <w:rFonts w:hint="eastAsia" w:ascii="黑体" w:hAnsi="黑体" w:eastAsia="黑体" w:cs="黑体"/>
          <w:b/>
          <w:bCs w:val="0"/>
          <w:color w:val="auto"/>
          <w:sz w:val="28"/>
          <w:szCs w:val="28"/>
          <w:lang w:eastAsia="zh-CN"/>
        </w:rPr>
        <w:t>、组织管理与保障</w:t>
      </w:r>
    </w:p>
    <w:p w14:paraId="626A5D48">
      <w:pPr>
        <w:spacing w:line="560" w:lineRule="exact"/>
        <w:ind w:firstLine="560" w:firstLineChars="200"/>
        <w:jc w:val="both"/>
        <w:rPr>
          <w:rFonts w:hint="eastAsia" w:ascii="仿宋_GB2312" w:hAnsi="仿宋_GB2312" w:eastAsia="仿宋_GB2312" w:cs="仿宋_GB2312"/>
          <w:color w:val="auto"/>
          <w:sz w:val="28"/>
          <w:szCs w:val="28"/>
          <w:lang w:val="en-US" w:eastAsia="zh-CN"/>
        </w:rPr>
      </w:pPr>
      <w:bookmarkStart w:id="0" w:name="_GoBack"/>
      <w:bookmarkEnd w:id="0"/>
      <w:r>
        <w:rPr>
          <w:rFonts w:hint="eastAsia" w:ascii="仿宋_GB2312" w:hAnsi="仿宋_GB2312" w:eastAsia="仿宋_GB2312" w:cs="仿宋_GB2312"/>
          <w:color w:val="auto"/>
          <w:sz w:val="28"/>
          <w:szCs w:val="28"/>
          <w:lang w:val="en-US" w:eastAsia="zh-CN"/>
        </w:rPr>
        <w:t>构建市、区、校三级项目研究指导网络，形成市、区、校青年项目的协同推进机制。</w:t>
      </w:r>
    </w:p>
    <w:p w14:paraId="2D223D1E">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1.市级项目组：负责对项目进行整体规划与年度工作设计，开展项目评审、开题论证、青年培养、结项考核、成果认定等全过程性管理。</w:t>
      </w:r>
    </w:p>
    <w:p w14:paraId="070C3961">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2.专家团队：成立由本市中小学（幼儿园）校（园）长、区教育学院院长、市区教科研人员、市区师训人员、高校专家等组成的专家指导团队，对各项目开题、中期评估、结项等进行指导。</w:t>
      </w:r>
    </w:p>
    <w:p w14:paraId="18E3764C">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3.区教育学院：负责本区青年教师成长研修项目管理与实施，为确保课程建设的高质量研制、实施和成果提炼，至少进行2次过程性指导。</w:t>
      </w:r>
    </w:p>
    <w:p w14:paraId="277512C4">
      <w:pPr>
        <w:spacing w:line="56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4.项目领衔人所在学校或所在区负责课程资源的拍摄工作。项目领衔人按计划开展项目研究、组织培训、课程研发，完成项目交付的各项任务。</w:t>
      </w:r>
    </w:p>
    <w:p w14:paraId="5B86CD3C">
      <w:pPr>
        <w:pStyle w:val="10"/>
        <w:jc w:val="both"/>
        <w:rPr>
          <w:rFonts w:hint="default" w:asciiTheme="minorEastAsia" w:hAnsiTheme="minorEastAsia" w:eastAsiaTheme="minorEastAsia" w:cstheme="minorEastAsia"/>
          <w:b/>
          <w:bCs/>
          <w:strike/>
          <w:color w:val="auto"/>
          <w:sz w:val="24"/>
          <w:szCs w:val="24"/>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4815B47-7AC8-4463-A1CA-6E8A2BB42F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_x000B__x000C_">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iti SC Medium">
    <w:altName w:val="宋体"/>
    <w:panose1 w:val="02000000000000000000"/>
    <w:charset w:val="86"/>
    <w:family w:val="auto"/>
    <w:pitch w:val="default"/>
    <w:sig w:usb0="00000000" w:usb1="00000000" w:usb2="00000000" w:usb3="00000000" w:csb0="203E0000" w:csb1="00000000"/>
    <w:embedRegular r:id="rId2" w:fontKey="{DA9E15F6-D293-4BDC-A1FE-B1FD9756D61B}"/>
  </w:font>
  <w:font w:name="仿宋_GB2312">
    <w:panose1 w:val="02010609030101010101"/>
    <w:charset w:val="86"/>
    <w:family w:val="modern"/>
    <w:pitch w:val="default"/>
    <w:sig w:usb0="00000001" w:usb1="080E0000" w:usb2="00000000" w:usb3="00000000" w:csb0="00040000" w:csb1="00000000"/>
    <w:embedRegular r:id="rId3" w:fontKey="{E6F373DB-2007-4AA3-BA8F-6BFEDBE7ECAC}"/>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3B704">
    <w:pPr>
      <w:pStyle w:val="7"/>
      <w:tabs>
        <w:tab w:val="center" w:pos="4680"/>
        <w:tab w:val="right" w:pos="9360"/>
        <w:tab w:val="clear" w:pos="4153"/>
        <w:tab w:val="clear" w:pos="8306"/>
      </w:tabs>
      <w:ind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3E502F"/>
    <w:multiLevelType w:val="singleLevel"/>
    <w:tmpl w:val="703E502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k0MTk4MTIzOWZlN2M4YWE2MjE5NGY1MmYxMWM3ZDgifQ=="/>
  </w:docVars>
  <w:rsids>
    <w:rsidRoot w:val="6C5E4D0F"/>
    <w:rsid w:val="000F6F69"/>
    <w:rsid w:val="00125E22"/>
    <w:rsid w:val="001C2616"/>
    <w:rsid w:val="004E1CF8"/>
    <w:rsid w:val="006A373E"/>
    <w:rsid w:val="006F5292"/>
    <w:rsid w:val="00876656"/>
    <w:rsid w:val="00A2716F"/>
    <w:rsid w:val="00AA195D"/>
    <w:rsid w:val="00AD267A"/>
    <w:rsid w:val="00B841A3"/>
    <w:rsid w:val="00BF7ED5"/>
    <w:rsid w:val="00CF48C6"/>
    <w:rsid w:val="00E65463"/>
    <w:rsid w:val="044653B3"/>
    <w:rsid w:val="0558261F"/>
    <w:rsid w:val="06186EC3"/>
    <w:rsid w:val="0753050D"/>
    <w:rsid w:val="07746E01"/>
    <w:rsid w:val="07EE1FD1"/>
    <w:rsid w:val="08C6543B"/>
    <w:rsid w:val="09881416"/>
    <w:rsid w:val="0A2F1479"/>
    <w:rsid w:val="0A630B05"/>
    <w:rsid w:val="0B7321D1"/>
    <w:rsid w:val="0BC7FAB3"/>
    <w:rsid w:val="0BF07A9F"/>
    <w:rsid w:val="0CC335FF"/>
    <w:rsid w:val="0EF83E74"/>
    <w:rsid w:val="0FE91A0F"/>
    <w:rsid w:val="101665BF"/>
    <w:rsid w:val="1140110E"/>
    <w:rsid w:val="11570591"/>
    <w:rsid w:val="11BC2535"/>
    <w:rsid w:val="12737FD2"/>
    <w:rsid w:val="14667AE9"/>
    <w:rsid w:val="150C16A4"/>
    <w:rsid w:val="15761F97"/>
    <w:rsid w:val="163F682C"/>
    <w:rsid w:val="16663DB9"/>
    <w:rsid w:val="18FF5C67"/>
    <w:rsid w:val="19777A51"/>
    <w:rsid w:val="1AA11864"/>
    <w:rsid w:val="1ABEF2DF"/>
    <w:rsid w:val="1ADE4866"/>
    <w:rsid w:val="1B7D5F52"/>
    <w:rsid w:val="1C9F1DD3"/>
    <w:rsid w:val="1D1A58FD"/>
    <w:rsid w:val="1D7A639C"/>
    <w:rsid w:val="1E552D33"/>
    <w:rsid w:val="1EB8717C"/>
    <w:rsid w:val="1EFF6958"/>
    <w:rsid w:val="1FDC333E"/>
    <w:rsid w:val="1FE63E87"/>
    <w:rsid w:val="24133031"/>
    <w:rsid w:val="24506D7D"/>
    <w:rsid w:val="25755DC7"/>
    <w:rsid w:val="27AE736E"/>
    <w:rsid w:val="28305FD5"/>
    <w:rsid w:val="28785180"/>
    <w:rsid w:val="2A2A2DCF"/>
    <w:rsid w:val="2AA5611A"/>
    <w:rsid w:val="2BD662D6"/>
    <w:rsid w:val="2BFFE094"/>
    <w:rsid w:val="2D951728"/>
    <w:rsid w:val="2DC65C6D"/>
    <w:rsid w:val="2F3EAB8A"/>
    <w:rsid w:val="30403475"/>
    <w:rsid w:val="30AB4D93"/>
    <w:rsid w:val="30F9559E"/>
    <w:rsid w:val="315F792B"/>
    <w:rsid w:val="329C5C14"/>
    <w:rsid w:val="336A0E46"/>
    <w:rsid w:val="34A811DF"/>
    <w:rsid w:val="35B44D6B"/>
    <w:rsid w:val="375B9AE4"/>
    <w:rsid w:val="37BD5B14"/>
    <w:rsid w:val="37DB1FAF"/>
    <w:rsid w:val="385B709E"/>
    <w:rsid w:val="39DE7251"/>
    <w:rsid w:val="3B340435"/>
    <w:rsid w:val="3BE371C4"/>
    <w:rsid w:val="3E640D24"/>
    <w:rsid w:val="3E9C7A76"/>
    <w:rsid w:val="3F5310A4"/>
    <w:rsid w:val="3FDD2533"/>
    <w:rsid w:val="454964D0"/>
    <w:rsid w:val="47B9344D"/>
    <w:rsid w:val="49042852"/>
    <w:rsid w:val="49193130"/>
    <w:rsid w:val="49726599"/>
    <w:rsid w:val="4AE60E04"/>
    <w:rsid w:val="4AEC1DD8"/>
    <w:rsid w:val="4AF76746"/>
    <w:rsid w:val="4B40491C"/>
    <w:rsid w:val="4B6F6CE5"/>
    <w:rsid w:val="4E984750"/>
    <w:rsid w:val="4FA90297"/>
    <w:rsid w:val="4FB8672C"/>
    <w:rsid w:val="50666188"/>
    <w:rsid w:val="51145BE4"/>
    <w:rsid w:val="533F0473"/>
    <w:rsid w:val="53715570"/>
    <w:rsid w:val="56BC6B02"/>
    <w:rsid w:val="58932F45"/>
    <w:rsid w:val="59BE7C04"/>
    <w:rsid w:val="5AA36D4B"/>
    <w:rsid w:val="5B6A7AD5"/>
    <w:rsid w:val="5B7B11C8"/>
    <w:rsid w:val="5D211DB5"/>
    <w:rsid w:val="5EAF8891"/>
    <w:rsid w:val="5FD90864"/>
    <w:rsid w:val="60186A4D"/>
    <w:rsid w:val="639B5D05"/>
    <w:rsid w:val="66DE2AC5"/>
    <w:rsid w:val="6726463A"/>
    <w:rsid w:val="67EF9900"/>
    <w:rsid w:val="69F30635"/>
    <w:rsid w:val="6C5E4D0F"/>
    <w:rsid w:val="6C7D1BB3"/>
    <w:rsid w:val="6C94077E"/>
    <w:rsid w:val="6EEE1335"/>
    <w:rsid w:val="6FCA63C1"/>
    <w:rsid w:val="70860455"/>
    <w:rsid w:val="71B763EC"/>
    <w:rsid w:val="73BE505D"/>
    <w:rsid w:val="74033665"/>
    <w:rsid w:val="74870645"/>
    <w:rsid w:val="76ED7CF6"/>
    <w:rsid w:val="771C29C5"/>
    <w:rsid w:val="77BD3641"/>
    <w:rsid w:val="796F1E25"/>
    <w:rsid w:val="79A13C0A"/>
    <w:rsid w:val="7A0414C6"/>
    <w:rsid w:val="7B8FAC18"/>
    <w:rsid w:val="7BBFB473"/>
    <w:rsid w:val="7BFF294F"/>
    <w:rsid w:val="7C891BAA"/>
    <w:rsid w:val="7D795EAB"/>
    <w:rsid w:val="7DBCDD59"/>
    <w:rsid w:val="7ED52CA5"/>
    <w:rsid w:val="7ED79D25"/>
    <w:rsid w:val="7EE7F6D5"/>
    <w:rsid w:val="7F6776A3"/>
    <w:rsid w:val="7F7FE845"/>
    <w:rsid w:val="7FAC7731"/>
    <w:rsid w:val="7FE76959"/>
    <w:rsid w:val="7FF3F40F"/>
    <w:rsid w:val="7FF50E5B"/>
    <w:rsid w:val="7FFD2ED1"/>
    <w:rsid w:val="95FF5FCD"/>
    <w:rsid w:val="9EFAB563"/>
    <w:rsid w:val="A7CFB877"/>
    <w:rsid w:val="BADFF9CB"/>
    <w:rsid w:val="BBF7260B"/>
    <w:rsid w:val="BDF70CD2"/>
    <w:rsid w:val="BF7F2636"/>
    <w:rsid w:val="CBFEA500"/>
    <w:rsid w:val="D7CB06B3"/>
    <w:rsid w:val="DCFB7AEA"/>
    <w:rsid w:val="DEED04F2"/>
    <w:rsid w:val="DF7BE664"/>
    <w:rsid w:val="DF9FF1E3"/>
    <w:rsid w:val="E55F26B2"/>
    <w:rsid w:val="EEF7B926"/>
    <w:rsid w:val="EFEF2055"/>
    <w:rsid w:val="EFFE05AA"/>
    <w:rsid w:val="EFFF3C20"/>
    <w:rsid w:val="F2F6DB0F"/>
    <w:rsid w:val="F3FC78BD"/>
    <w:rsid w:val="F59F2D91"/>
    <w:rsid w:val="F5FFC7A0"/>
    <w:rsid w:val="F64FD75B"/>
    <w:rsid w:val="F9BD3CB5"/>
    <w:rsid w:val="FD6D63FA"/>
    <w:rsid w:val="FD7E635A"/>
    <w:rsid w:val="FDFF9A7A"/>
    <w:rsid w:val="FE7C4004"/>
    <w:rsid w:val="FEDA9D2D"/>
    <w:rsid w:val="FF6BAA98"/>
    <w:rsid w:val="FF72BCCB"/>
    <w:rsid w:val="FF7E2045"/>
    <w:rsid w:val="FFEAB691"/>
    <w:rsid w:val="FFFD4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100" w:beforeLines="100" w:after="100" w:afterLines="100"/>
      <w:ind w:firstLine="0" w:firstLineChars="0"/>
      <w:jc w:val="center"/>
      <w:outlineLvl w:val="0"/>
    </w:pPr>
    <w:rPr>
      <w:rFonts w:ascii="华文中宋" w:hAnsi="华文中宋"/>
      <w:b/>
      <w:bCs/>
      <w:kern w:val="44"/>
      <w:sz w:val="36"/>
      <w:szCs w:val="44"/>
    </w:rPr>
  </w:style>
  <w:style w:type="paragraph" w:styleId="3">
    <w:name w:val="heading 2"/>
    <w:basedOn w:val="1"/>
    <w:next w:val="1"/>
    <w:unhideWhenUsed/>
    <w:qFormat/>
    <w:uiPriority w:val="9"/>
    <w:pPr>
      <w:keepNext/>
      <w:keepLines/>
      <w:spacing w:before="50" w:beforeLines="50" w:after="50" w:afterLines="50"/>
      <w:ind w:firstLine="0" w:firstLineChars="0"/>
      <w:jc w:val="left"/>
      <w:outlineLvl w:val="1"/>
    </w:pPr>
    <w:rPr>
      <w:rFonts w:ascii="华文中宋" w:hAnsi="华文中宋" w:cstheme="majorBidi"/>
      <w:b/>
      <w:bCs/>
      <w:sz w:val="28"/>
      <w:szCs w:val="32"/>
    </w:rPr>
  </w:style>
  <w:style w:type="paragraph" w:styleId="4">
    <w:name w:val="heading 3"/>
    <w:basedOn w:val="1"/>
    <w:next w:val="1"/>
    <w:unhideWhenUsed/>
    <w:qFormat/>
    <w:uiPriority w:val="9"/>
    <w:pPr>
      <w:keepNext/>
      <w:keepLines/>
      <w:spacing w:before="50" w:beforeLines="50" w:after="50" w:afterLines="50"/>
      <w:ind w:firstLine="0" w:firstLineChars="0"/>
      <w:outlineLvl w:val="2"/>
    </w:pPr>
    <w:rPr>
      <w:rFonts w:ascii="黑体" w:hAnsi="黑体" w:eastAsia="楷体"/>
      <w:b/>
      <w:bCs/>
      <w:sz w:val="28"/>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rPr>
      <w:rFonts w:cs="Times New Roman"/>
    </w:rPr>
  </w:style>
  <w:style w:type="paragraph" w:styleId="6">
    <w:name w:val="Balloon Text"/>
    <w:basedOn w:val="1"/>
    <w:link w:val="18"/>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spacing w:before="120"/>
      <w:jc w:val="left"/>
    </w:pPr>
    <w:rPr>
      <w:rFonts w:asciiTheme="minorHAnsi" w:eastAsiaTheme="minorHAnsi"/>
      <w:b/>
      <w:szCs w:val="24"/>
    </w:rPr>
  </w:style>
  <w:style w:type="paragraph" w:styleId="10">
    <w:name w:val="Body Text 2"/>
    <w:basedOn w:val="1"/>
    <w:qFormat/>
    <w:uiPriority w:val="0"/>
    <w:pPr>
      <w:jc w:val="center"/>
    </w:pPr>
    <w:rPr>
      <w:rFonts w:eastAsia="华文新魏"/>
      <w:sz w:val="44"/>
    </w:rPr>
  </w:style>
  <w:style w:type="paragraph" w:styleId="11">
    <w:name w:val="Title"/>
    <w:basedOn w:val="1"/>
    <w:next w:val="1"/>
    <w:qFormat/>
    <w:uiPriority w:val="10"/>
    <w:pPr>
      <w:spacing w:before="240" w:after="60"/>
      <w:jc w:val="center"/>
      <w:outlineLvl w:val="0"/>
    </w:pPr>
    <w:rPr>
      <w:rFonts w:asciiTheme="majorHAnsi" w:hAnsiTheme="majorHAnsi" w:cstheme="majorBidi"/>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character" w:customStyle="1" w:styleId="16">
    <w:name w:val="页眉 字符"/>
    <w:basedOn w:val="14"/>
    <w:link w:val="8"/>
    <w:qFormat/>
    <w:uiPriority w:val="0"/>
    <w:rPr>
      <w:rFonts w:asciiTheme="minorHAnsi" w:hAnsiTheme="minorHAnsi" w:eastAsiaTheme="minorEastAsia" w:cstheme="minorBidi"/>
      <w:kern w:val="2"/>
      <w:sz w:val="18"/>
      <w:szCs w:val="18"/>
    </w:rPr>
  </w:style>
  <w:style w:type="character" w:customStyle="1" w:styleId="17">
    <w:name w:val="页脚 字符"/>
    <w:basedOn w:val="14"/>
    <w:link w:val="7"/>
    <w:qFormat/>
    <w:uiPriority w:val="0"/>
    <w:rPr>
      <w:rFonts w:asciiTheme="minorHAnsi" w:hAnsiTheme="minorHAnsi" w:eastAsiaTheme="minorEastAsia" w:cstheme="minorBidi"/>
      <w:kern w:val="2"/>
      <w:sz w:val="18"/>
      <w:szCs w:val="18"/>
    </w:rPr>
  </w:style>
  <w:style w:type="character" w:customStyle="1" w:styleId="18">
    <w:name w:val="批注框文本 字符"/>
    <w:basedOn w:val="14"/>
    <w:link w:val="6"/>
    <w:qFormat/>
    <w:uiPriority w:val="0"/>
    <w:rPr>
      <w:rFonts w:asciiTheme="minorHAnsi" w:hAnsiTheme="minorHAnsi" w:eastAsiaTheme="minorEastAsia" w:cstheme="minorBidi"/>
      <w:kern w:val="2"/>
      <w:sz w:val="18"/>
      <w:szCs w:val="18"/>
    </w:rPr>
  </w:style>
  <w:style w:type="character" w:customStyle="1" w:styleId="19">
    <w:name w:val="font91"/>
    <w:basedOn w:val="14"/>
    <w:qFormat/>
    <w:uiPriority w:val="0"/>
    <w:rPr>
      <w:rFonts w:hint="default" w:ascii="Times New Roman" w:hAnsi="Times New Roman" w:cs="Times New Roman"/>
      <w:color w:val="000000"/>
      <w:sz w:val="24"/>
      <w:szCs w:val="24"/>
      <w:u w:val="none"/>
    </w:rPr>
  </w:style>
  <w:style w:type="character" w:customStyle="1" w:styleId="20">
    <w:name w:val="font41"/>
    <w:basedOn w:val="14"/>
    <w:qFormat/>
    <w:uiPriority w:val="0"/>
    <w:rPr>
      <w:rFonts w:hint="eastAsia" w:ascii="宋体" w:hAnsi="宋体" w:eastAsia="宋体" w:cs="宋体"/>
      <w:color w:val="000000"/>
      <w:sz w:val="24"/>
      <w:szCs w:val="24"/>
      <w:u w:val="none"/>
    </w:rPr>
  </w:style>
  <w:style w:type="character" w:customStyle="1" w:styleId="21">
    <w:name w:val="font101"/>
    <w:basedOn w:val="14"/>
    <w:qFormat/>
    <w:uiPriority w:val="0"/>
    <w:rPr>
      <w:rFonts w:ascii="_x000B__x000C_" w:hAnsi="_x000B__x000C_" w:eastAsia="_x000B__x000C_" w:cs="_x000B__x000C_"/>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1648</Words>
  <Characters>1721</Characters>
  <Lines>27</Lines>
  <Paragraphs>7</Paragraphs>
  <TotalTime>47</TotalTime>
  <ScaleCrop>false</ScaleCrop>
  <LinksUpToDate>false</LinksUpToDate>
  <CharactersWithSpaces>1726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2024-10-11T11:05:00Z</dcterms:created>
  <dc:creator>英配昌</dc:creator>
  <cp:lastModifiedBy>Lan.Y</cp:lastModifiedBy>
  <cp:lastPrinted>2024-09-21T20:19:00Z</cp:lastPrinted>
  <dcterms:modified xsi:type="dcterms:W3CDTF">2026-10-21T02:49:25Z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099CF1EA40EDF965150AD76A3EFDDD9D_43</vt:lpwstr>
  </property>
  <property fmtid="{D5CDD505-2E9C-101B-9397-08002B2CF9AE}" pid="4" name="KSOTemplateDocerSaveRecord">
    <vt:lpwstr>eyJoZGlkIjoiYmNhNTVlMDNmMTk3YjZiMThlMzdjMWI5ZTY5MDM4YTAiLCJ1c2VySWQiOiI0MjI3NTA5MzYifQ==</vt:lpwstr>
  </property>
</Properties>
</file>