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附件2</w:t>
      </w:r>
    </w:p>
    <w:p>
      <w:pPr>
        <w:spacing w:line="440" w:lineRule="exact"/>
        <w:jc w:val="center"/>
        <w:rPr>
          <w:rFonts w:ascii="仿宋_GB2312" w:hAnsi="仿宋" w:eastAsia="仿宋_GB2312"/>
          <w:b/>
          <w:kern w:val="0"/>
          <w:sz w:val="32"/>
          <w:szCs w:val="30"/>
        </w:rPr>
      </w:pPr>
      <w:r>
        <w:rPr>
          <w:rFonts w:hint="eastAsia" w:ascii="仿宋_GB2312" w:hAnsi="仿宋" w:eastAsia="仿宋_GB2312"/>
          <w:b/>
          <w:kern w:val="0"/>
          <w:sz w:val="32"/>
          <w:szCs w:val="30"/>
        </w:rPr>
        <w:t>XXXX（学校名称）数字学习中心2019年度应用计划（内容提纲）</w:t>
      </w:r>
    </w:p>
    <w:p>
      <w:pPr>
        <w:spacing w:line="360" w:lineRule="auto"/>
        <w:ind w:firstLine="660" w:firstLineChars="236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</w:rPr>
        <w:t>学校数字学习中心2019年度应用计划，需包含：应用</w:t>
      </w:r>
      <w:r>
        <w:rPr>
          <w:rFonts w:hint="eastAsia" w:ascii="仿宋_GB2312" w:hAnsi="仿宋" w:eastAsia="仿宋_GB2312"/>
          <w:kern w:val="0"/>
          <w:sz w:val="28"/>
          <w:szCs w:val="28"/>
        </w:rPr>
        <w:t>目标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>、实施内容、实施过程、组织机制、区级展示活动申报等，计划要</w:t>
      </w:r>
      <w:r>
        <w:rPr>
          <w:rFonts w:hint="eastAsia" w:ascii="仿宋_GB2312" w:hAnsi="仿宋" w:eastAsia="仿宋_GB2312" w:cs="宋体"/>
          <w:kern w:val="0"/>
          <w:sz w:val="28"/>
          <w:szCs w:val="28"/>
          <w:lang w:eastAsia="zh-CN"/>
        </w:rPr>
        <w:t>有研究性、</w:t>
      </w:r>
      <w:r>
        <w:rPr>
          <w:rFonts w:hint="eastAsia" w:ascii="仿宋_GB2312" w:hAnsi="仿宋" w:eastAsia="仿宋_GB2312" w:cs="宋体"/>
          <w:kern w:val="0"/>
          <w:sz w:val="28"/>
          <w:szCs w:val="28"/>
        </w:rPr>
        <w:t>务实、可落实、可检测</w:t>
      </w:r>
      <w:r>
        <w:rPr>
          <w:rFonts w:hint="eastAsia" w:ascii="仿宋_GB2312" w:hAnsi="仿宋" w:eastAsia="仿宋_GB2312"/>
          <w:kern w:val="0"/>
          <w:sz w:val="28"/>
          <w:szCs w:val="28"/>
        </w:rPr>
        <w:t>。</w:t>
      </w:r>
    </w:p>
    <w:p>
      <w:pPr>
        <w:spacing w:line="360" w:lineRule="auto"/>
        <w:ind w:firstLine="562" w:firstLineChars="200"/>
        <w:outlineLvl w:val="0"/>
        <w:rPr>
          <w:rFonts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一、应用目标</w:t>
      </w:r>
    </w:p>
    <w:p>
      <w:pPr>
        <w:spacing w:line="360" w:lineRule="auto"/>
        <w:ind w:firstLine="560" w:firstLineChars="20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主要阐述数字学习中心的重点应用方向，要达到的目标及实现的创新教学方向等。</w:t>
      </w:r>
    </w:p>
    <w:p>
      <w:pPr>
        <w:spacing w:line="360" w:lineRule="auto"/>
        <w:ind w:firstLine="562" w:firstLineChars="200"/>
        <w:outlineLvl w:val="0"/>
        <w:rPr>
          <w:rFonts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二、实施内容</w:t>
      </w:r>
    </w:p>
    <w:p>
      <w:pPr>
        <w:spacing w:line="360" w:lineRule="auto"/>
        <w:ind w:firstLine="560" w:firstLineChars="20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主要阐述围绕目标采取的教研组建设、教研活动开展、研修活动开展，学生活动的组织等安排。</w:t>
      </w:r>
    </w:p>
    <w:p>
      <w:pPr>
        <w:spacing w:line="360" w:lineRule="auto"/>
        <w:ind w:firstLine="562" w:firstLineChars="200"/>
        <w:outlineLvl w:val="0"/>
        <w:rPr>
          <w:rFonts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三、实施过程</w:t>
      </w:r>
    </w:p>
    <w:p>
      <w:pPr>
        <w:spacing w:line="360" w:lineRule="auto"/>
        <w:ind w:firstLine="560" w:firstLineChars="200"/>
        <w:rPr>
          <w:rFonts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主要阐述2019年度数字学习中心的培训、教研、研修、听评课、展示交流活动的安排。</w:t>
      </w:r>
    </w:p>
    <w:p>
      <w:pPr>
        <w:spacing w:line="360" w:lineRule="auto"/>
        <w:ind w:firstLine="562" w:firstLineChars="200"/>
        <w:jc w:val="left"/>
        <w:outlineLvl w:val="0"/>
        <w:rPr>
          <w:rFonts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四、组织机制</w:t>
      </w:r>
    </w:p>
    <w:p>
      <w:pPr>
        <w:spacing w:line="360" w:lineRule="auto"/>
        <w:ind w:firstLine="560" w:firstLineChars="200"/>
        <w:outlineLvl w:val="0"/>
        <w:rPr>
          <w:rFonts w:hint="eastAsia" w:ascii="仿宋_GB2312" w:hAnsi="仿宋" w:eastAsia="仿宋_GB2312"/>
          <w:kern w:val="0"/>
          <w:sz w:val="28"/>
          <w:szCs w:val="28"/>
        </w:rPr>
      </w:pPr>
      <w:r>
        <w:rPr>
          <w:rFonts w:hint="eastAsia" w:ascii="仿宋_GB2312" w:hAnsi="仿宋" w:eastAsia="仿宋_GB2312"/>
          <w:kern w:val="0"/>
          <w:sz w:val="28"/>
          <w:szCs w:val="28"/>
        </w:rPr>
        <w:t>主要阐述</w:t>
      </w:r>
      <w:r>
        <w:rPr>
          <w:rFonts w:ascii="仿宋_GB2312" w:hAnsi="仿宋" w:eastAsia="仿宋_GB2312"/>
          <w:kern w:val="0"/>
          <w:sz w:val="28"/>
          <w:szCs w:val="28"/>
        </w:rPr>
        <w:t>学校</w:t>
      </w:r>
      <w:r>
        <w:rPr>
          <w:rFonts w:hint="eastAsia" w:ascii="仿宋_GB2312" w:hAnsi="仿宋" w:eastAsia="仿宋_GB2312"/>
          <w:kern w:val="0"/>
          <w:sz w:val="28"/>
          <w:szCs w:val="28"/>
        </w:rPr>
        <w:t>的组织保障、人力保障和制度建设，重点落实的学科等。</w:t>
      </w:r>
    </w:p>
    <w:p>
      <w:pPr>
        <w:spacing w:line="360" w:lineRule="auto"/>
        <w:ind w:firstLine="562" w:firstLineChars="200"/>
        <w:outlineLvl w:val="0"/>
        <w:rPr>
          <w:rFonts w:hint="eastAsia"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五、</w:t>
      </w:r>
      <w:r>
        <w:rPr>
          <w:rFonts w:hint="eastAsia" w:ascii="仿宋_GB2312" w:hAnsi="仿宋" w:eastAsia="仿宋_GB2312"/>
          <w:b/>
          <w:bCs/>
          <w:kern w:val="0"/>
          <w:sz w:val="28"/>
          <w:szCs w:val="28"/>
          <w:lang w:val="en-US" w:eastAsia="zh-CN"/>
        </w:rPr>
        <w:t>2019年度</w:t>
      </w:r>
      <w:bookmarkStart w:id="0" w:name="_GoBack"/>
      <w:bookmarkEnd w:id="0"/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区级展示活动申报</w:t>
      </w:r>
    </w:p>
    <w:p>
      <w:pPr>
        <w:spacing w:line="360" w:lineRule="auto"/>
        <w:ind w:firstLine="562" w:firstLineChars="200"/>
        <w:outlineLvl w:val="0"/>
        <w:rPr>
          <w:rFonts w:ascii="仿宋_GB2312" w:hAnsi="仿宋" w:eastAsia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0"/>
          <w:sz w:val="28"/>
          <w:szCs w:val="28"/>
        </w:rPr>
        <w:t>要求：每所学校至少申报一次。</w:t>
      </w: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3420"/>
        <w:gridCol w:w="2160"/>
        <w:gridCol w:w="13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  <w:t>展示时间</w:t>
            </w: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  <w:lang w:eastAsia="zh-CN"/>
              </w:rPr>
              <w:t>（周次）</w:t>
            </w:r>
          </w:p>
        </w:tc>
        <w:tc>
          <w:tcPr>
            <w:tcW w:w="3420" w:type="dxa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  <w:t>展示</w:t>
            </w: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  <w:lang w:eastAsia="zh-CN"/>
              </w:rPr>
              <w:t>主题</w:t>
            </w: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  <w:t>展示范围</w:t>
            </w:r>
          </w:p>
        </w:tc>
        <w:tc>
          <w:tcPr>
            <w:tcW w:w="1366" w:type="dxa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3420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366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3420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  <w:tc>
          <w:tcPr>
            <w:tcW w:w="1366" w:type="dxa"/>
          </w:tcPr>
          <w:p>
            <w:pPr>
              <w:spacing w:line="360" w:lineRule="auto"/>
              <w:rPr>
                <w:rFonts w:hint="eastAsia" w:ascii="仿宋_GB2312" w:hAnsi="仿宋" w:eastAsia="仿宋_GB2312"/>
                <w:kern w:val="0"/>
                <w:sz w:val="28"/>
                <w:szCs w:val="28"/>
              </w:rPr>
            </w:pPr>
          </w:p>
        </w:tc>
      </w:tr>
    </w:tbl>
    <w:p>
      <w:pPr>
        <w:rPr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18758F3"/>
    <w:rsid w:val="000D6450"/>
    <w:rsid w:val="004C55BF"/>
    <w:rsid w:val="009744CF"/>
    <w:rsid w:val="00A969A2"/>
    <w:rsid w:val="085308F4"/>
    <w:rsid w:val="0BE23F21"/>
    <w:rsid w:val="10521E39"/>
    <w:rsid w:val="218758F3"/>
    <w:rsid w:val="299775C0"/>
    <w:rsid w:val="2D2B7858"/>
    <w:rsid w:val="3040235F"/>
    <w:rsid w:val="311E0805"/>
    <w:rsid w:val="435317BE"/>
    <w:rsid w:val="4449798D"/>
    <w:rsid w:val="488F03DE"/>
    <w:rsid w:val="56306C33"/>
    <w:rsid w:val="71422C69"/>
    <w:rsid w:val="7EB50F1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</Words>
  <Characters>291</Characters>
  <Lines>2</Lines>
  <Paragraphs>1</Paragraphs>
  <TotalTime>22</TotalTime>
  <ScaleCrop>false</ScaleCrop>
  <LinksUpToDate>false</LinksUpToDate>
  <CharactersWithSpaces>341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2019-03-04T07:56:00Z</dcterms:created>
  <dc:creator>褚金岭</dc:creator>
  <cp:lastModifiedBy>褚金岭</cp:lastModifiedBy>
  <dcterms:modified xsi:type="dcterms:W3CDTF">2019-03-18T02:21:47Z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