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7033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jc w:val="center"/>
      </w:pPr>
      <w:r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  <w:t>浦东新区</w:t>
      </w:r>
      <w:r>
        <w:rPr>
          <w:rFonts w:asciiTheme="majorEastAsia" w:hAnsiTheme="majorEastAsia" w:eastAsiaTheme="majorEastAsia"/>
          <w:b/>
          <w:bCs/>
          <w:sz w:val="32"/>
          <w:szCs w:val="32"/>
        </w:rPr>
        <w:t>202</w:t>
      </w:r>
      <w:r>
        <w:rPr>
          <w:rFonts w:hint="eastAsia" w:asciiTheme="majorEastAsia" w:hAnsiTheme="majorEastAsia" w:eastAsiaTheme="majorEastAsia"/>
          <w:b/>
          <w:bCs/>
          <w:sz w:val="32"/>
          <w:szCs w:val="32"/>
          <w:lang w:val="en-US" w:eastAsia="zh-CN"/>
        </w:rPr>
        <w:t>5</w:t>
      </w:r>
      <w:r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  <w:t>学年</w:t>
      </w:r>
      <w:r>
        <w:rPr>
          <w:rFonts w:hint="eastAsia" w:cs="宋体" w:asciiTheme="majorEastAsia" w:hAnsiTheme="majorEastAsia" w:eastAsiaTheme="majorEastAsia"/>
          <w:b/>
          <w:bCs/>
          <w:sz w:val="32"/>
          <w:szCs w:val="32"/>
          <w:lang w:eastAsia="zh-CN"/>
          <w:woUserID w:val="1"/>
        </w:rPr>
        <w:t>储备教师</w:t>
      </w:r>
      <w:r>
        <w:rPr>
          <w:rFonts w:hint="eastAsia" w:cs="宋体" w:asciiTheme="majorEastAsia" w:hAnsiTheme="majorEastAsia" w:eastAsiaTheme="majorEastAsia"/>
          <w:b/>
          <w:bCs/>
          <w:sz w:val="32"/>
          <w:szCs w:val="32"/>
          <w:lang w:val="en-US" w:eastAsia="zh-CN"/>
        </w:rPr>
        <w:t>规范化培训</w:t>
      </w:r>
      <w:r>
        <w:rPr>
          <w:rFonts w:hint="eastAsia" w:cs="宋体" w:asciiTheme="majorEastAsia" w:hAnsiTheme="majorEastAsia" w:eastAsiaTheme="majorEastAsia"/>
          <w:b/>
          <w:bCs/>
          <w:sz w:val="32"/>
          <w:szCs w:val="32"/>
        </w:rPr>
        <w:t>方案</w:t>
      </w:r>
    </w:p>
    <w:p w14:paraId="7E753659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lang w:eastAsia="zh"/>
          <w:woUserID w:val="1"/>
        </w:rPr>
      </w:pPr>
    </w:p>
    <w:p w14:paraId="4837CA7B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根据《上海市中小学（幼儿园）见习教师规范化培训的指导意见（试行）》（沪教委人〔2012〕18号）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2"/>
        </w:rPr>
        <w:t>的要求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，“师范院校或其他高等院校相关专业毕业，在中小学首次任教的人员”需参加见习教师规范化培训。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浦东新区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储备教师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规范化培训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按照“培训内容与要求不变，聘任校承担原基地校职责”的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方式实施，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具体方案如下。</w:t>
      </w:r>
    </w:p>
    <w:p w14:paraId="6DBC3B9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一、培训对象</w:t>
      </w:r>
    </w:p>
    <w:p w14:paraId="0970CC6C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lang w:eastAsia="zh"/>
          <w:woUserID w:val="1"/>
        </w:rPr>
      </w:pPr>
      <w:r>
        <w:rPr>
          <w:rFonts w:hint="eastAsia" w:ascii="仿宋" w:hAnsi="仿宋" w:eastAsia="仿宋" w:cs="宋体"/>
          <w:sz w:val="28"/>
          <w:szCs w:val="28"/>
        </w:rPr>
        <w:t>浦东新区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2025</w:t>
      </w:r>
      <w:r>
        <w:rPr>
          <w:rFonts w:hint="eastAsia" w:ascii="仿宋" w:hAnsi="仿宋" w:eastAsia="仿宋" w:cs="宋体"/>
          <w:sz w:val="28"/>
          <w:szCs w:val="28"/>
        </w:rPr>
        <w:t>学年录用的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储备教师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，以下人员可申请免培。</w:t>
      </w:r>
    </w:p>
    <w:p w14:paraId="1CD9FE9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</w:pP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1.</w:t>
      </w:r>
      <w:r>
        <w:rPr>
          <w:rFonts w:hint="eastAsia" w:ascii="仿宋" w:hAnsi="仿宋" w:eastAsia="仿宋" w:cs="宋体"/>
          <w:sz w:val="28"/>
          <w:szCs w:val="28"/>
          <w:woUserID w:val="1"/>
        </w:rPr>
        <w:t>已获得上海市见习教师规范化培训证书（含2024学年</w:t>
      </w:r>
      <w:r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  <w:t>见习教师规范化</w:t>
      </w:r>
      <w:r>
        <w:rPr>
          <w:rFonts w:hint="eastAsia" w:ascii="仿宋" w:hAnsi="仿宋" w:eastAsia="仿宋" w:cs="宋体"/>
          <w:sz w:val="28"/>
          <w:szCs w:val="28"/>
          <w:woUserID w:val="1"/>
        </w:rPr>
        <w:t>培训合格者）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；</w:t>
      </w:r>
    </w:p>
    <w:p w14:paraId="049262C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woUserID w:val="1"/>
        </w:rPr>
      </w:pPr>
      <w:r>
        <w:rPr>
          <w:rFonts w:hint="eastAsia" w:ascii="仿宋" w:hAnsi="仿宋" w:eastAsia="仿宋" w:cs="宋体"/>
          <w:sz w:val="28"/>
          <w:szCs w:val="28"/>
          <w:woUserID w:val="1"/>
        </w:rPr>
        <w:t>2.已认定为教师系列初、中、高级职称（含已进入职称评定上级审批流程者）；</w:t>
      </w:r>
    </w:p>
    <w:p w14:paraId="28B1803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  <w:t>3</w:t>
      </w:r>
      <w:r>
        <w:rPr>
          <w:rFonts w:hint="eastAsia" w:ascii="仿宋" w:hAnsi="仿宋" w:eastAsia="仿宋" w:cs="宋体"/>
          <w:sz w:val="28"/>
          <w:szCs w:val="28"/>
          <w:woUserID w:val="1"/>
        </w:rPr>
        <w:t>.岗位为教辅而非教师。</w:t>
      </w:r>
    </w:p>
    <w:p w14:paraId="2855F00D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  <w:lang w:eastAsia="zh-CN"/>
        </w:rPr>
        <w:t>二</w:t>
      </w:r>
      <w:r>
        <w:rPr>
          <w:rFonts w:hint="eastAsia" w:ascii="黑体" w:hAnsi="黑体" w:eastAsia="黑体" w:cs="宋体"/>
          <w:sz w:val="28"/>
          <w:szCs w:val="28"/>
        </w:rPr>
        <w:t>、培训目标</w:t>
      </w:r>
    </w:p>
    <w:p w14:paraId="678343E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woUserID w:val="1"/>
        </w:rPr>
      </w:pPr>
      <w:r>
        <w:rPr>
          <w:rFonts w:hint="eastAsia" w:ascii="仿宋" w:hAnsi="仿宋" w:eastAsia="仿宋" w:cs="宋体"/>
          <w:sz w:val="28"/>
          <w:szCs w:val="28"/>
          <w:woUserID w:val="1"/>
        </w:rPr>
        <w:t>（一）提升教师职业认同和师德修养，熟悉教育法规政策与区情教情，树立依法治教的观念；</w:t>
      </w:r>
    </w:p>
    <w:p w14:paraId="3D62AFC5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woUserID w:val="1"/>
        </w:rPr>
      </w:pPr>
      <w:r>
        <w:rPr>
          <w:rFonts w:hint="eastAsia" w:ascii="仿宋" w:hAnsi="仿宋" w:eastAsia="仿宋" w:cs="宋体"/>
          <w:sz w:val="28"/>
          <w:szCs w:val="28"/>
          <w:woUserID w:val="1"/>
        </w:rPr>
        <w:t>（二）掌握学科教学/保教基本技能，具备教学设计、实施与评价能力；</w:t>
      </w:r>
    </w:p>
    <w:p w14:paraId="0E49774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woUserID w:val="1"/>
        </w:rPr>
      </w:pPr>
      <w:r>
        <w:rPr>
          <w:rFonts w:hint="eastAsia" w:ascii="仿宋" w:hAnsi="仿宋" w:eastAsia="仿宋" w:cs="宋体"/>
          <w:sz w:val="28"/>
          <w:szCs w:val="28"/>
          <w:woUserID w:val="1"/>
        </w:rPr>
        <w:t>（三）掌握班级工作的基本要点，具备初步的育德能力与家校沟通能力；</w:t>
      </w:r>
    </w:p>
    <w:p w14:paraId="33A1DCB1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woUserID w:val="1"/>
        </w:rPr>
        <w:t>（四）初步掌握教学反思的基本方法，在日常教学中有意识地进行实践反思，逐步提升对教学的认识和教学行为的合理性。</w:t>
      </w:r>
    </w:p>
    <w:p w14:paraId="0B128CDF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  <w:lang w:eastAsia="zh-CN"/>
        </w:rPr>
        <w:t>三、</w:t>
      </w:r>
      <w:r>
        <w:rPr>
          <w:rFonts w:hint="eastAsia" w:ascii="黑体" w:hAnsi="黑体" w:eastAsia="黑体" w:cs="宋体"/>
          <w:sz w:val="28"/>
          <w:szCs w:val="28"/>
        </w:rPr>
        <w:t>培训主体与方式</w:t>
      </w:r>
    </w:p>
    <w:p w14:paraId="16E40832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本区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储备</w:t>
      </w:r>
      <w:r>
        <w:rPr>
          <w:rFonts w:hint="eastAsia" w:ascii="仿宋" w:hAnsi="仿宋" w:eastAsia="仿宋" w:cs="宋体"/>
          <w:sz w:val="28"/>
          <w:szCs w:val="28"/>
        </w:rPr>
        <w:t>教师规范化培训由浦东教育发展研究院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2"/>
        </w:rPr>
        <w:t>、</w:t>
      </w:r>
      <w:r>
        <w:rPr>
          <w:rFonts w:hint="eastAsia" w:ascii="仿宋" w:hAnsi="仿宋" w:eastAsia="仿宋" w:cs="宋体"/>
          <w:sz w:val="28"/>
          <w:szCs w:val="28"/>
        </w:rPr>
        <w:t>聘任学校、见习教师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2"/>
        </w:rPr>
        <w:t>共同</w:t>
      </w:r>
      <w:r>
        <w:rPr>
          <w:rFonts w:hint="eastAsia" w:ascii="仿宋" w:hAnsi="仿宋" w:eastAsia="仿宋" w:cs="宋体"/>
          <w:sz w:val="28"/>
          <w:szCs w:val="28"/>
        </w:rPr>
        <w:t>落实培训要求，</w:t>
      </w:r>
      <w:r>
        <w:rPr>
          <w:rFonts w:hint="eastAsia" w:ascii="仿宋" w:hAnsi="仿宋" w:eastAsia="仿宋" w:cs="宋体"/>
          <w:sz w:val="28"/>
          <w:szCs w:val="28"/>
          <w:lang w:val="en-US" w:eastAsia="zh"/>
          <w:woUserID w:val="1"/>
        </w:rPr>
        <w:t>通过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如下三种方式实施。</w:t>
      </w:r>
    </w:p>
    <w:p w14:paraId="7B4D8C3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woUserID w:val="1"/>
        </w:rPr>
      </w:pP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（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一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）</w:t>
      </w:r>
      <w:r>
        <w:rPr>
          <w:rFonts w:hint="eastAsia" w:ascii="仿宋" w:hAnsi="仿宋" w:eastAsia="仿宋" w:cs="宋体"/>
          <w:sz w:val="28"/>
          <w:szCs w:val="28"/>
          <w:woUserID w:val="1"/>
        </w:rPr>
        <w:t>区级集中培训</w:t>
      </w:r>
    </w:p>
    <w:p w14:paraId="0043A96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  <w:t>浦东教发院负责全区储备教师集中培训，培训形式主要通过</w:t>
      </w:r>
      <w:r>
        <w:rPr>
          <w:rFonts w:hint="eastAsia" w:ascii="仿宋" w:hAnsi="仿宋" w:eastAsia="仿宋" w:cs="宋体"/>
          <w:sz w:val="28"/>
          <w:szCs w:val="28"/>
          <w:lang w:val="en-US" w:eastAsia="zh"/>
          <w:woUserID w:val="1"/>
        </w:rPr>
        <w:t>在线</w:t>
      </w:r>
      <w:r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  <w:t>学习平台进行。培训内容主要为职业感悟与师德修养、课堂经历与教学实践/活动设计与保教实践、班级工作与育德体验/班级工作与育儿体验、教学研究与专业发展四个模块内容，以及非师范专业毕业教师补充学习等内容。</w:t>
      </w:r>
    </w:p>
    <w:p w14:paraId="0590676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二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宋体"/>
          <w:sz w:val="28"/>
          <w:szCs w:val="28"/>
        </w:rPr>
        <w:t>聘任学校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暨基地学校）</w:t>
      </w:r>
      <w:r>
        <w:rPr>
          <w:rFonts w:hint="eastAsia" w:ascii="仿宋" w:hAnsi="仿宋" w:eastAsia="仿宋" w:cs="宋体"/>
          <w:sz w:val="28"/>
          <w:szCs w:val="28"/>
        </w:rPr>
        <w:t>培训</w:t>
      </w:r>
    </w:p>
    <w:p w14:paraId="7DBE3DB9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聘任学校参照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参照《浦东新区2025学年见习教师规范化培训方案》（附件）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，</w:t>
      </w:r>
      <w:r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  <w:t>整合基地校和聘任校的要求，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为</w:t>
      </w:r>
      <w:r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  <w:t>本校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储备教师</w:t>
      </w:r>
      <w:r>
        <w:rPr>
          <w:rFonts w:hint="eastAsia" w:ascii="仿宋" w:hAnsi="仿宋" w:eastAsia="仿宋" w:cs="宋体"/>
          <w:sz w:val="28"/>
          <w:szCs w:val="28"/>
          <w:woUserID w:val="1"/>
        </w:rPr>
        <w:t>制定培训方案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，</w:t>
      </w:r>
      <w:r>
        <w:rPr>
          <w:rFonts w:hint="eastAsia" w:ascii="仿宋" w:hAnsi="仿宋" w:eastAsia="仿宋" w:cs="宋体"/>
          <w:sz w:val="28"/>
          <w:szCs w:val="28"/>
          <w:lang w:val="en-US" w:eastAsia="zh-CN"/>
          <w:woUserID w:val="1"/>
        </w:rPr>
        <w:t>配备导师。</w:t>
      </w:r>
      <w:r>
        <w:rPr>
          <w:rFonts w:hint="eastAsia" w:ascii="仿宋" w:hAnsi="仿宋" w:eastAsia="仿宋" w:cs="宋体"/>
          <w:sz w:val="28"/>
          <w:szCs w:val="28"/>
        </w:rPr>
        <w:t>合理安排储备教师的工作，确保时间参加区级集中培训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，</w:t>
      </w:r>
      <w:r>
        <w:rPr>
          <w:rFonts w:hint="eastAsia" w:ascii="仿宋" w:hAnsi="仿宋" w:eastAsia="仿宋" w:cs="宋体"/>
          <w:sz w:val="28"/>
          <w:szCs w:val="28"/>
        </w:rPr>
        <w:t>督促储备教师认真完成各项培训任务。</w:t>
      </w:r>
    </w:p>
    <w:p w14:paraId="77BC49F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（三）自我研修</w:t>
      </w:r>
    </w:p>
    <w:p w14:paraId="4FBB6B8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储备教师在接受上述培训的同时，还要通过自主阅读专业书籍、撰写读书心得、制定与完善个人发展规划等形式，加深对教师职业的感悟，提升师德修养，养成自主发展的良好习惯，在“读、访、写、做、赛、悟”中获得成长。</w:t>
      </w:r>
    </w:p>
    <w:p w14:paraId="5F0283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黑体" w:hAnsi="宋体" w:eastAsia="黑体" w:cs="Times New Roman"/>
          <w:snapToGrid/>
          <w:kern w:val="2"/>
          <w:sz w:val="28"/>
          <w:szCs w:val="28"/>
        </w:rPr>
      </w:pPr>
      <w:r>
        <w:rPr>
          <w:rFonts w:hint="eastAsia" w:ascii="黑体" w:hAnsi="宋体" w:eastAsia="黑体" w:cs="Times New Roman"/>
          <w:snapToGrid/>
          <w:kern w:val="2"/>
          <w:sz w:val="28"/>
          <w:szCs w:val="28"/>
          <w:lang w:eastAsia="zh-CN"/>
        </w:rPr>
        <w:t>四、</w:t>
      </w:r>
      <w:r>
        <w:rPr>
          <w:rFonts w:hint="eastAsia" w:ascii="黑体" w:hAnsi="宋体" w:eastAsia="黑体" w:cs="Times New Roman"/>
          <w:snapToGrid/>
          <w:kern w:val="2"/>
          <w:sz w:val="28"/>
          <w:szCs w:val="28"/>
        </w:rPr>
        <w:t>管理与考核</w:t>
      </w:r>
    </w:p>
    <w:p w14:paraId="0AF47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_GB2312" w:hAnsi="宋体" w:eastAsia="仿宋_GB2312" w:cs="宋体"/>
          <w:bCs/>
          <w:snapToGrid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napToGrid/>
          <w:kern w:val="2"/>
          <w:sz w:val="28"/>
          <w:szCs w:val="28"/>
        </w:rPr>
        <w:t>（一）</w:t>
      </w:r>
      <w:r>
        <w:rPr>
          <w:rFonts w:hint="eastAsia" w:ascii="仿宋_GB2312" w:hAnsi="宋体" w:eastAsia="仿宋_GB2312" w:cs="宋体"/>
          <w:bCs/>
          <w:snapToGrid/>
          <w:kern w:val="0"/>
          <w:sz w:val="28"/>
          <w:szCs w:val="28"/>
        </w:rPr>
        <w:t>规范化培训时间为一年。</w:t>
      </w:r>
    </w:p>
    <w:p w14:paraId="04F3F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  <w:t>（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eastAsia="zh"/>
          <w:woUserID w:val="1"/>
        </w:rPr>
        <w:t>二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  <w:t>）</w:t>
      </w:r>
      <w:r>
        <w:rPr>
          <w:rFonts w:hint="eastAsia" w:ascii="仿宋_GB2312" w:hAnsi="宋体" w:eastAsia="仿宋_GB2312" w:cs="宋体"/>
          <w:bCs/>
          <w:snapToGrid/>
          <w:kern w:val="0"/>
          <w:sz w:val="28"/>
          <w:szCs w:val="28"/>
        </w:rPr>
        <w:t>规范化培训结束后，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woUserID w:val="1"/>
        </w:rPr>
        <w:t>浦东教育发展研究院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eastAsia="zh"/>
          <w:woUserID w:val="1"/>
        </w:rPr>
        <w:t>根据储备教师区级集中培训的参与情况给出区级考核结果，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  <w:t>聘任学校</w:t>
      </w:r>
      <w:r>
        <w:rPr>
          <w:rFonts w:hint="eastAsia" w:ascii="仿宋_GB2312" w:hAnsi="宋体" w:eastAsia="仿宋_GB2312" w:cs="宋体"/>
          <w:bCs/>
          <w:snapToGrid/>
          <w:kern w:val="0"/>
          <w:sz w:val="28"/>
          <w:szCs w:val="28"/>
        </w:rPr>
        <w:t>在浦东教育发展研究院指导下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  <w:t>对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val="en-US" w:eastAsia="zh-CN"/>
        </w:rPr>
        <w:t>储备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  <w:t>教师进行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eastAsia="zh"/>
          <w:woUserID w:val="1"/>
        </w:rPr>
        <w:t>综合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  <w:t>考核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eastAsia="zh"/>
          <w:woUserID w:val="1"/>
        </w:rPr>
        <w:t>，给出校级考核结果。综合以上两项成绩，确定储备教师考核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val="en-US" w:eastAsia="zh-CN"/>
        </w:rPr>
        <w:t>等第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val="en-US" w:eastAsia="zh"/>
          <w:woUserID w:val="1"/>
        </w:rPr>
        <w:t>，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val="en-US" w:eastAsia="zh-CN"/>
        </w:rPr>
        <w:t>分为“合格”“不合格”两种。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  <w:lang w:val="en-US" w:eastAsia="zh"/>
          <w:woUserID w:val="1"/>
        </w:rPr>
        <w:t>考核合格者可获得</w:t>
      </w:r>
      <w:r>
        <w:rPr>
          <w:rFonts w:hint="eastAsia" w:ascii="仿宋_GB2312" w:hAnsi="宋体" w:eastAsia="仿宋_GB2312" w:cs="Times New Roman"/>
          <w:bCs/>
          <w:snapToGrid/>
          <w:kern w:val="2"/>
          <w:sz w:val="28"/>
          <w:szCs w:val="28"/>
        </w:rPr>
        <w:t>《上海市见习教师规范化培训合格证书》。</w:t>
      </w:r>
    </w:p>
    <w:p w14:paraId="19A2D6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宋体" w:eastAsia="黑体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黑体" w:hAnsi="宋体" w:eastAsia="黑体" w:cs="Times New Roman"/>
          <w:snapToGrid/>
          <w:kern w:val="2"/>
          <w:sz w:val="28"/>
          <w:szCs w:val="28"/>
          <w:lang w:eastAsia="zh-CN"/>
        </w:rPr>
        <w:t>五、培训保障</w:t>
      </w:r>
    </w:p>
    <w:p w14:paraId="78643F9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2" w:firstLineChars="200"/>
        <w:rPr>
          <w:rFonts w:ascii="楷体_GB2312" w:hAnsi="仿宋" w:eastAsia="楷体_GB2312" w:cs="宋体"/>
          <w:b/>
          <w:bCs/>
          <w:sz w:val="28"/>
          <w:szCs w:val="28"/>
        </w:rPr>
      </w:pPr>
      <w:r>
        <w:rPr>
          <w:rFonts w:hint="eastAsia" w:ascii="楷体_GB2312" w:hAnsi="仿宋" w:eastAsia="楷体_GB2312" w:cs="宋体"/>
          <w:b/>
          <w:bCs/>
          <w:sz w:val="28"/>
          <w:szCs w:val="28"/>
        </w:rPr>
        <w:t>（一）组织保障</w:t>
      </w:r>
    </w:p>
    <w:p w14:paraId="70E77816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培训在</w:t>
      </w:r>
      <w:r>
        <w:rPr>
          <w:rFonts w:hint="eastAsia" w:ascii="仿宋" w:hAnsi="仿宋" w:eastAsia="仿宋" w:cs="宋体"/>
          <w:sz w:val="28"/>
          <w:szCs w:val="28"/>
        </w:rPr>
        <w:t>浦东新区教育局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的</w:t>
      </w:r>
      <w:r>
        <w:rPr>
          <w:rFonts w:hint="eastAsia" w:ascii="仿宋" w:hAnsi="仿宋" w:eastAsia="仿宋" w:cs="宋体"/>
          <w:sz w:val="28"/>
          <w:szCs w:val="28"/>
        </w:rPr>
        <w:t>领导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下，由</w:t>
      </w:r>
      <w:r>
        <w:rPr>
          <w:rFonts w:hint="eastAsia" w:ascii="仿宋" w:hAnsi="仿宋" w:eastAsia="仿宋" w:cs="宋体"/>
          <w:sz w:val="28"/>
          <w:szCs w:val="28"/>
        </w:rPr>
        <w:t>浦东教育发展研究院负责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组织实施，</w:t>
      </w:r>
      <w:r>
        <w:rPr>
          <w:rFonts w:ascii="仿宋" w:hAnsi="仿宋" w:eastAsia="仿宋" w:cs="宋体"/>
          <w:sz w:val="28"/>
          <w:szCs w:val="28"/>
        </w:rPr>
        <w:t>聘任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学</w:t>
      </w:r>
      <w:r>
        <w:rPr>
          <w:rFonts w:ascii="仿宋" w:hAnsi="仿宋" w:eastAsia="仿宋" w:cs="宋体"/>
          <w:sz w:val="28"/>
          <w:szCs w:val="28"/>
        </w:rPr>
        <w:t>校</w:t>
      </w:r>
      <w:r>
        <w:rPr>
          <w:rFonts w:hint="eastAsia" w:ascii="仿宋" w:hAnsi="仿宋" w:eastAsia="仿宋" w:cs="宋体"/>
          <w:sz w:val="28"/>
          <w:szCs w:val="28"/>
        </w:rPr>
        <w:t>具体落实。</w:t>
      </w:r>
    </w:p>
    <w:p w14:paraId="19C83448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2" w:firstLineChars="200"/>
        <w:rPr>
          <w:rFonts w:ascii="楷体_GB2312" w:hAnsi="仿宋" w:eastAsia="楷体_GB2312" w:cs="宋体"/>
          <w:b/>
          <w:bCs/>
          <w:sz w:val="28"/>
          <w:szCs w:val="28"/>
        </w:rPr>
      </w:pPr>
      <w:r>
        <w:rPr>
          <w:rFonts w:hint="eastAsia" w:ascii="楷体_GB2312" w:hAnsi="仿宋" w:eastAsia="楷体_GB2312" w:cs="宋体"/>
          <w:b/>
          <w:bCs/>
          <w:sz w:val="28"/>
          <w:szCs w:val="28"/>
        </w:rPr>
        <w:t>（二）专业保障</w:t>
      </w:r>
    </w:p>
    <w:p w14:paraId="3AA56B9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浦东教育发展研究院联合高校等各类专业</w:t>
      </w: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机构</w:t>
      </w:r>
      <w:r>
        <w:rPr>
          <w:rFonts w:hint="eastAsia" w:ascii="仿宋" w:hAnsi="仿宋" w:eastAsia="仿宋" w:cs="宋体"/>
          <w:sz w:val="28"/>
          <w:szCs w:val="28"/>
        </w:rPr>
        <w:t>，为培训提供专业保障</w:t>
      </w:r>
      <w:r>
        <w:rPr>
          <w:rFonts w:ascii="仿宋" w:hAnsi="仿宋" w:eastAsia="仿宋" w:cs="宋体"/>
          <w:sz w:val="28"/>
          <w:szCs w:val="28"/>
        </w:rPr>
        <w:t>。</w:t>
      </w:r>
    </w:p>
    <w:p w14:paraId="2E4D358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</w:p>
    <w:p w14:paraId="74A871A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560" w:firstLineChars="200"/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</w:pPr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附件</w:t>
      </w:r>
      <w:bookmarkStart w:id="0" w:name="_GoBack"/>
      <w:bookmarkEnd w:id="0"/>
      <w:r>
        <w:rPr>
          <w:rFonts w:hint="eastAsia" w:ascii="仿宋" w:hAnsi="仿宋" w:eastAsia="仿宋" w:cs="宋体"/>
          <w:sz w:val="28"/>
          <w:szCs w:val="28"/>
          <w:lang w:eastAsia="zh"/>
          <w:woUserID w:val="1"/>
        </w:rPr>
        <w:t>：《浦东新区2025学年见习教师规范化培训方案</w:t>
      </w:r>
      <w:r>
        <w:rPr>
          <w:rFonts w:hint="eastAsia" w:ascii="仿宋" w:hAnsi="仿宋" w:eastAsia="仿宋" w:cs="宋体"/>
          <w:sz w:val="28"/>
          <w:szCs w:val="28"/>
          <w:lang w:eastAsia="zh-CN"/>
          <w:woUserID w:val="1"/>
        </w:rPr>
        <w:t>》</w:t>
      </w:r>
    </w:p>
    <w:p w14:paraId="31B1489A">
      <w:pPr>
        <w:spacing w:line="560" w:lineRule="exact"/>
        <w:ind w:firstLine="560" w:firstLineChars="200"/>
        <w:jc w:val="right"/>
        <w:rPr>
          <w:rFonts w:ascii="仿宋" w:hAnsi="仿宋" w:eastAsia="仿宋" w:cs="宋体"/>
          <w:sz w:val="28"/>
          <w:szCs w:val="28"/>
        </w:rPr>
      </w:pPr>
    </w:p>
    <w:p w14:paraId="7CFD9D50">
      <w:pPr>
        <w:spacing w:line="560" w:lineRule="exact"/>
        <w:ind w:firstLine="560" w:firstLineChars="200"/>
        <w:jc w:val="right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上海市浦东教育发展研究院</w:t>
      </w:r>
    </w:p>
    <w:p w14:paraId="54DD14E9">
      <w:pPr>
        <w:spacing w:line="560" w:lineRule="exact"/>
        <w:ind w:firstLine="560" w:firstLineChars="200"/>
        <w:jc w:val="right"/>
        <w:rPr>
          <w:rFonts w:hint="default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2025年9月</w:t>
      </w:r>
    </w:p>
    <w:sectPr>
      <w:footerReference r:id="rId3" w:type="default"/>
      <w:pgSz w:w="11907" w:h="16839"/>
      <w:pgMar w:top="1417" w:right="1587" w:bottom="1417" w:left="1587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62D63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711161401"/>
                          </w:sdtPr>
                          <w:sdtContent>
                            <w:p w14:paraId="6A30339D">
                              <w:pPr>
                                <w:pStyle w:val="4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1163092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11161401"/>
                    </w:sdtPr>
                    <w:sdtContent>
                      <w:p w14:paraId="6A30339D">
                        <w:pPr>
                          <w:pStyle w:val="4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11630921"/>
                </w:txbxContent>
              </v:textbox>
            </v:shape>
          </w:pict>
        </mc:Fallback>
      </mc:AlternateContent>
    </w:r>
  </w:p>
  <w:p w14:paraId="41632CD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revisionView w:markup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1YWM1NWZkNzJkZDU0ZDgzODhmY2UxNDdmODIxZGIifQ=="/>
  </w:docVars>
  <w:rsids>
    <w:rsidRoot w:val="00E707E5"/>
    <w:rsid w:val="0005711F"/>
    <w:rsid w:val="00081487"/>
    <w:rsid w:val="000827F6"/>
    <w:rsid w:val="000A64BE"/>
    <w:rsid w:val="000A7A67"/>
    <w:rsid w:val="000B761E"/>
    <w:rsid w:val="000C162A"/>
    <w:rsid w:val="000C26A1"/>
    <w:rsid w:val="0011202C"/>
    <w:rsid w:val="00124161"/>
    <w:rsid w:val="001366B8"/>
    <w:rsid w:val="0015179C"/>
    <w:rsid w:val="00182BB0"/>
    <w:rsid w:val="001B007F"/>
    <w:rsid w:val="001B4352"/>
    <w:rsid w:val="001B689D"/>
    <w:rsid w:val="001D0834"/>
    <w:rsid w:val="001E7B50"/>
    <w:rsid w:val="002360E6"/>
    <w:rsid w:val="00254BFB"/>
    <w:rsid w:val="00272DF7"/>
    <w:rsid w:val="002A2962"/>
    <w:rsid w:val="002E5933"/>
    <w:rsid w:val="002F2E10"/>
    <w:rsid w:val="00307C4D"/>
    <w:rsid w:val="003322B7"/>
    <w:rsid w:val="00337A6F"/>
    <w:rsid w:val="00343515"/>
    <w:rsid w:val="00374CA4"/>
    <w:rsid w:val="003C3997"/>
    <w:rsid w:val="003E1522"/>
    <w:rsid w:val="003F46F9"/>
    <w:rsid w:val="00404FAF"/>
    <w:rsid w:val="00411D9D"/>
    <w:rsid w:val="00417EFE"/>
    <w:rsid w:val="00463009"/>
    <w:rsid w:val="00475ACF"/>
    <w:rsid w:val="004A0D63"/>
    <w:rsid w:val="004A5ECF"/>
    <w:rsid w:val="004E03AA"/>
    <w:rsid w:val="004F1FE7"/>
    <w:rsid w:val="005768DB"/>
    <w:rsid w:val="005E232B"/>
    <w:rsid w:val="00612E18"/>
    <w:rsid w:val="0061474C"/>
    <w:rsid w:val="00617EBB"/>
    <w:rsid w:val="00620DCA"/>
    <w:rsid w:val="00622313"/>
    <w:rsid w:val="00630C70"/>
    <w:rsid w:val="0063628F"/>
    <w:rsid w:val="006421DF"/>
    <w:rsid w:val="006502F9"/>
    <w:rsid w:val="00650818"/>
    <w:rsid w:val="00653D79"/>
    <w:rsid w:val="00683199"/>
    <w:rsid w:val="00691050"/>
    <w:rsid w:val="006B32AD"/>
    <w:rsid w:val="006C6F3F"/>
    <w:rsid w:val="006D39CD"/>
    <w:rsid w:val="00731CFE"/>
    <w:rsid w:val="00733F3A"/>
    <w:rsid w:val="0074210B"/>
    <w:rsid w:val="0075259A"/>
    <w:rsid w:val="00752EDE"/>
    <w:rsid w:val="0077566F"/>
    <w:rsid w:val="007A1791"/>
    <w:rsid w:val="007B45D9"/>
    <w:rsid w:val="007C261D"/>
    <w:rsid w:val="007F7049"/>
    <w:rsid w:val="0082145E"/>
    <w:rsid w:val="00824824"/>
    <w:rsid w:val="00824D0F"/>
    <w:rsid w:val="00841209"/>
    <w:rsid w:val="00842F0F"/>
    <w:rsid w:val="0085685B"/>
    <w:rsid w:val="0086540D"/>
    <w:rsid w:val="00895B02"/>
    <w:rsid w:val="0089604F"/>
    <w:rsid w:val="008A070E"/>
    <w:rsid w:val="008A1F53"/>
    <w:rsid w:val="008A49E3"/>
    <w:rsid w:val="008B2FA6"/>
    <w:rsid w:val="008D2362"/>
    <w:rsid w:val="008D4894"/>
    <w:rsid w:val="008D77C3"/>
    <w:rsid w:val="008F7F2A"/>
    <w:rsid w:val="009067DC"/>
    <w:rsid w:val="0094641D"/>
    <w:rsid w:val="009471E8"/>
    <w:rsid w:val="00952581"/>
    <w:rsid w:val="00977651"/>
    <w:rsid w:val="0099521C"/>
    <w:rsid w:val="009B1CAC"/>
    <w:rsid w:val="009B5E57"/>
    <w:rsid w:val="009D64DB"/>
    <w:rsid w:val="009E5DE2"/>
    <w:rsid w:val="009E6851"/>
    <w:rsid w:val="00A01715"/>
    <w:rsid w:val="00A0195A"/>
    <w:rsid w:val="00A225AA"/>
    <w:rsid w:val="00A43978"/>
    <w:rsid w:val="00A464F2"/>
    <w:rsid w:val="00AA19CD"/>
    <w:rsid w:val="00AC6557"/>
    <w:rsid w:val="00AD7138"/>
    <w:rsid w:val="00AE6814"/>
    <w:rsid w:val="00AF4A45"/>
    <w:rsid w:val="00B05F96"/>
    <w:rsid w:val="00B20673"/>
    <w:rsid w:val="00B238F7"/>
    <w:rsid w:val="00B250DD"/>
    <w:rsid w:val="00B50118"/>
    <w:rsid w:val="00B70480"/>
    <w:rsid w:val="00B73CFA"/>
    <w:rsid w:val="00B81D14"/>
    <w:rsid w:val="00BC09E0"/>
    <w:rsid w:val="00BC7BB4"/>
    <w:rsid w:val="00BD2254"/>
    <w:rsid w:val="00BD27D2"/>
    <w:rsid w:val="00BF5C1E"/>
    <w:rsid w:val="00C12B9B"/>
    <w:rsid w:val="00C1380F"/>
    <w:rsid w:val="00C4517F"/>
    <w:rsid w:val="00C45C2D"/>
    <w:rsid w:val="00C82023"/>
    <w:rsid w:val="00C821A3"/>
    <w:rsid w:val="00C921A9"/>
    <w:rsid w:val="00C939A1"/>
    <w:rsid w:val="00CA4323"/>
    <w:rsid w:val="00CD15DB"/>
    <w:rsid w:val="00CD7816"/>
    <w:rsid w:val="00CF3733"/>
    <w:rsid w:val="00CF6678"/>
    <w:rsid w:val="00D115F3"/>
    <w:rsid w:val="00D2304B"/>
    <w:rsid w:val="00D242BE"/>
    <w:rsid w:val="00D35FD2"/>
    <w:rsid w:val="00D5264E"/>
    <w:rsid w:val="00D96545"/>
    <w:rsid w:val="00DA3DC1"/>
    <w:rsid w:val="00DA6F12"/>
    <w:rsid w:val="00DC2914"/>
    <w:rsid w:val="00DC3451"/>
    <w:rsid w:val="00DE0297"/>
    <w:rsid w:val="00DE3175"/>
    <w:rsid w:val="00DE37B3"/>
    <w:rsid w:val="00DF6256"/>
    <w:rsid w:val="00E00589"/>
    <w:rsid w:val="00E237BB"/>
    <w:rsid w:val="00E37FBF"/>
    <w:rsid w:val="00E707E5"/>
    <w:rsid w:val="00E76906"/>
    <w:rsid w:val="00EC0406"/>
    <w:rsid w:val="00EF5B67"/>
    <w:rsid w:val="00F11F21"/>
    <w:rsid w:val="00F13CBB"/>
    <w:rsid w:val="00F16AE4"/>
    <w:rsid w:val="00F3023A"/>
    <w:rsid w:val="00F31A8B"/>
    <w:rsid w:val="00F66EC6"/>
    <w:rsid w:val="00F73122"/>
    <w:rsid w:val="00FB3311"/>
    <w:rsid w:val="00FE6F2E"/>
    <w:rsid w:val="00FF2F6C"/>
    <w:rsid w:val="0A846F16"/>
    <w:rsid w:val="0D5A0FD1"/>
    <w:rsid w:val="10E41BDB"/>
    <w:rsid w:val="137C3DFD"/>
    <w:rsid w:val="140603E8"/>
    <w:rsid w:val="16805919"/>
    <w:rsid w:val="16FE47C1"/>
    <w:rsid w:val="17D92F6B"/>
    <w:rsid w:val="1B08551A"/>
    <w:rsid w:val="1FF20703"/>
    <w:rsid w:val="1FFA6BEA"/>
    <w:rsid w:val="229D2256"/>
    <w:rsid w:val="25034367"/>
    <w:rsid w:val="27AF194E"/>
    <w:rsid w:val="27C9064C"/>
    <w:rsid w:val="36807E79"/>
    <w:rsid w:val="382B01D6"/>
    <w:rsid w:val="3E0802BD"/>
    <w:rsid w:val="3FFF6E8A"/>
    <w:rsid w:val="40D64434"/>
    <w:rsid w:val="44143481"/>
    <w:rsid w:val="44EA0E06"/>
    <w:rsid w:val="4EC15FC5"/>
    <w:rsid w:val="50AB1369"/>
    <w:rsid w:val="543732F7"/>
    <w:rsid w:val="595B79D1"/>
    <w:rsid w:val="5A157CD6"/>
    <w:rsid w:val="5E5F7C34"/>
    <w:rsid w:val="61BE4626"/>
    <w:rsid w:val="63FBAB52"/>
    <w:rsid w:val="680602E2"/>
    <w:rsid w:val="69175141"/>
    <w:rsid w:val="6B6D6BB9"/>
    <w:rsid w:val="6FBFEC93"/>
    <w:rsid w:val="750D3A42"/>
    <w:rsid w:val="7733029F"/>
    <w:rsid w:val="77BFA8A0"/>
    <w:rsid w:val="77F7EA0B"/>
    <w:rsid w:val="7B946722"/>
    <w:rsid w:val="7BEE53D1"/>
    <w:rsid w:val="7C5B164E"/>
    <w:rsid w:val="7CB740C6"/>
    <w:rsid w:val="7DF369FE"/>
    <w:rsid w:val="7E313851"/>
    <w:rsid w:val="7E7D129F"/>
    <w:rsid w:val="7F3F0130"/>
    <w:rsid w:val="7F480FCB"/>
    <w:rsid w:val="9B77F1AC"/>
    <w:rsid w:val="ABAFCBE1"/>
    <w:rsid w:val="C9A7F4A8"/>
    <w:rsid w:val="CCEF0C1B"/>
    <w:rsid w:val="DFBEBEB0"/>
    <w:rsid w:val="DFFBBBB9"/>
    <w:rsid w:val="ED3F9243"/>
    <w:rsid w:val="FBFB6FED"/>
    <w:rsid w:val="FFBEE1D7"/>
    <w:rsid w:val="FFEF010F"/>
    <w:rsid w:val="FFFEA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qFormat/>
    <w:uiPriority w:val="0"/>
  </w:style>
  <w:style w:type="paragraph" w:styleId="3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link w:val="16"/>
    <w:autoRedefine/>
    <w:qFormat/>
    <w:uiPriority w:val="0"/>
    <w:rPr>
      <w:b/>
      <w:bCs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annotation reference"/>
    <w:basedOn w:val="10"/>
    <w:autoRedefine/>
    <w:qFormat/>
    <w:uiPriority w:val="0"/>
    <w:rPr>
      <w:sz w:val="21"/>
      <w:szCs w:val="21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页眉 Char"/>
    <w:basedOn w:val="10"/>
    <w:link w:val="5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4">
    <w:name w:val="页脚 Char"/>
    <w:basedOn w:val="10"/>
    <w:link w:val="4"/>
    <w:autoRedefine/>
    <w:qFormat/>
    <w:uiPriority w:val="99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5">
    <w:name w:val="批注文字 Char"/>
    <w:basedOn w:val="10"/>
    <w:link w:val="2"/>
    <w:autoRedefine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6">
    <w:name w:val="批注主题 Char"/>
    <w:basedOn w:val="15"/>
    <w:link w:val="7"/>
    <w:autoRedefine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character" w:customStyle="1" w:styleId="17">
    <w:name w:val="批注框文本 Char"/>
    <w:basedOn w:val="10"/>
    <w:link w:val="3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table" w:customStyle="1" w:styleId="18">
    <w:name w:val="无格式表格 21"/>
    <w:basedOn w:val="8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</w:rPr>
  </w:style>
  <w:style w:type="character" w:customStyle="1" w:styleId="20">
    <w:name w:val="10"/>
    <w:basedOn w:val="10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3</Pages>
  <Words>938</Words>
  <Characters>960</Characters>
  <Lines>1</Lines>
  <Paragraphs>1</Paragraphs>
  <TotalTime>10</TotalTime>
  <ScaleCrop>false</ScaleCrop>
  <LinksUpToDate>false</LinksUpToDate>
  <CharactersWithSpaces>960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2023-07-11T02:43:00Z</dcterms:created>
  <dc:creator>于 言箴</dc:creator>
  <cp:lastModifiedBy>张娟</cp:lastModifiedBy>
  <cp:lastPrinted>2024-06-21T20:48:00Z</cp:lastPrinted>
  <dcterms:modified xsi:type="dcterms:W3CDTF">2025-09-28T05:26:43Z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2023-06-27T13:28:32Z</vt:filetime>
  </property>
  <property fmtid="{D5CDD505-2E9C-101B-9397-08002B2CF9AE}" pid="4" name="KSOProductBuildVer">
    <vt:lpwstr>2052-12.1.0.22529</vt:lpwstr>
  </property>
  <property fmtid="{D5CDD505-2E9C-101B-9397-08002B2CF9AE}" pid="5" name="ICV">
    <vt:lpwstr>97A7BC45DAA34DC2BBDE5E83199DA7AC_13</vt:lpwstr>
  </property>
  <property fmtid="{D5CDD505-2E9C-101B-9397-08002B2CF9AE}" pid="6" name="KSOTemplateDocerSaveRecord">
    <vt:lpwstr>eyJoZGlkIjoiYjIwM2NiZTczYTQ4YWU2MWZmMzg0YzY1OGFiNTZkMjMiLCJ1c2VySWQiOiIzMzQ3NDE1MzQifQ==</vt:lpwstr>
  </property>
</Properties>
</file>